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53A8" w14:textId="1D178473" w:rsidR="00BC3959" w:rsidRPr="00AE0753" w:rsidRDefault="00BC3959" w:rsidP="00BC3959">
      <w:pPr>
        <w:contextualSpacing/>
        <w:jc w:val="center"/>
        <w:rPr>
          <w:rFonts w:ascii="Times New Roman" w:hAnsi="Times New Roman"/>
          <w:b/>
          <w:bCs/>
          <w:color w:val="000000" w:themeColor="text1"/>
          <w:sz w:val="20"/>
          <w:szCs w:val="20"/>
        </w:rPr>
      </w:pPr>
      <w:r w:rsidRPr="00AE0753">
        <w:rPr>
          <w:rFonts w:ascii="Times New Roman" w:hAnsi="Times New Roman"/>
          <w:b/>
          <w:bCs/>
          <w:color w:val="000000" w:themeColor="text1"/>
          <w:sz w:val="20"/>
          <w:szCs w:val="20"/>
        </w:rPr>
        <w:t>A Conceptual Model of Antecedents to Para-Social Presence of Chatbots</w:t>
      </w:r>
    </w:p>
    <w:p w14:paraId="2A40FEFA" w14:textId="1721C9A6" w:rsidR="00BC3959" w:rsidRDefault="00BC3959" w:rsidP="00BC3959">
      <w:pPr>
        <w:contextualSpacing/>
        <w:jc w:val="center"/>
        <w:rPr>
          <w:rFonts w:ascii="Times New Roman" w:hAnsi="Times New Roman"/>
          <w:bCs/>
          <w:color w:val="000000" w:themeColor="text1"/>
          <w:sz w:val="20"/>
          <w:szCs w:val="20"/>
        </w:rPr>
      </w:pPr>
      <w:r>
        <w:rPr>
          <w:rFonts w:ascii="Times New Roman" w:hAnsi="Times New Roman"/>
          <w:bCs/>
          <w:color w:val="000000" w:themeColor="text1"/>
          <w:sz w:val="20"/>
          <w:szCs w:val="20"/>
        </w:rPr>
        <w:t>Swagata Chakraborty and Wi-Suk Kwon, Auburn University</w:t>
      </w:r>
    </w:p>
    <w:p w14:paraId="4DAC4014" w14:textId="2C4769A9" w:rsidR="00BC3959" w:rsidRPr="00BC3959" w:rsidRDefault="00BC3959" w:rsidP="00AE0753">
      <w:pPr>
        <w:contextualSpacing/>
        <w:jc w:val="center"/>
        <w:rPr>
          <w:rFonts w:ascii="Times New Roman" w:hAnsi="Times New Roman"/>
          <w:bCs/>
          <w:color w:val="000000" w:themeColor="text1"/>
          <w:sz w:val="20"/>
          <w:szCs w:val="20"/>
        </w:rPr>
      </w:pPr>
      <w:r w:rsidRPr="00AE0753">
        <w:rPr>
          <w:rFonts w:ascii="Times New Roman" w:hAnsi="Times New Roman"/>
          <w:b/>
          <w:bCs/>
          <w:color w:val="000000" w:themeColor="text1"/>
          <w:sz w:val="20"/>
          <w:szCs w:val="20"/>
        </w:rPr>
        <w:t>Keywords:</w:t>
      </w:r>
      <w:r>
        <w:rPr>
          <w:rFonts w:ascii="Times New Roman" w:hAnsi="Times New Roman"/>
          <w:bCs/>
          <w:color w:val="000000" w:themeColor="text1"/>
          <w:sz w:val="20"/>
          <w:szCs w:val="20"/>
        </w:rPr>
        <w:t xml:space="preserve"> Para-social presence, chatbot, social cues, personality traits</w:t>
      </w:r>
    </w:p>
    <w:p w14:paraId="64231668" w14:textId="77777777" w:rsidR="00BC3959" w:rsidRPr="00AE0753" w:rsidRDefault="00BC3959" w:rsidP="00BC3959">
      <w:pPr>
        <w:contextualSpacing/>
        <w:jc w:val="center"/>
        <w:rPr>
          <w:rFonts w:ascii="Times New Roman" w:hAnsi="Times New Roman"/>
          <w:b/>
          <w:bCs/>
          <w:color w:val="000000" w:themeColor="text1"/>
          <w:sz w:val="20"/>
          <w:szCs w:val="20"/>
        </w:rPr>
      </w:pPr>
      <w:r w:rsidRPr="00AE0753">
        <w:rPr>
          <w:rFonts w:ascii="Times New Roman" w:hAnsi="Times New Roman"/>
          <w:b/>
          <w:bCs/>
          <w:color w:val="000000" w:themeColor="text1"/>
          <w:sz w:val="20"/>
          <w:szCs w:val="20"/>
        </w:rPr>
        <w:t>Introduction and Purpose</w:t>
      </w:r>
    </w:p>
    <w:p w14:paraId="34318E14" w14:textId="507C576F" w:rsidR="00575750" w:rsidRPr="00BC3959" w:rsidRDefault="00BC3959" w:rsidP="0095085C">
      <w:pPr>
        <w:ind w:firstLine="720"/>
        <w:rPr>
          <w:rFonts w:ascii="Times New Roman" w:hAnsi="Times New Roman"/>
          <w:bCs/>
          <w:color w:val="000000" w:themeColor="text1"/>
          <w:sz w:val="20"/>
          <w:szCs w:val="20"/>
        </w:rPr>
      </w:pPr>
      <w:r w:rsidRPr="00BC3959">
        <w:rPr>
          <w:rFonts w:ascii="Times New Roman" w:hAnsi="Times New Roman"/>
          <w:bCs/>
          <w:sz w:val="20"/>
          <w:szCs w:val="20"/>
        </w:rPr>
        <w:t xml:space="preserve">Many brands (e.g., H&amp;M, Amazon, Tommy Hilfiger) are using conversational artificially intelligent (AI) agents, to address consumers’ needs. For example, H&amp;M’s AI agent works as a personal styling agent selects clothing items according to consumers’ personal style, requirements, and demographics. Tommy Hilfiger’s agent identifies users’ apparel preferences through conversations and offers personalized styling suggestions while posing as an expert/celebrity. Thus, these brands are anthropomorphizing the conversational AI agents by increasing their social presence to enhance consumer experience. </w:t>
      </w:r>
      <w:r w:rsidRPr="00BC3959">
        <w:rPr>
          <w:rFonts w:ascii="Times New Roman" w:hAnsi="Times New Roman"/>
          <w:bCs/>
          <w:color w:val="000000" w:themeColor="text1"/>
          <w:sz w:val="20"/>
          <w:szCs w:val="20"/>
        </w:rPr>
        <w:t xml:space="preserve">There is a growing focus on enhancing social presence with conversational AI agents to evoke positive user response in terms of interaction satisfaction, perceived trust, and attraction toward and enjoyment with the AI agents (Lee et al., 2006; Shin &amp; Choo, 2011; </w:t>
      </w:r>
      <w:proofErr w:type="spellStart"/>
      <w:r w:rsidRPr="00BC3959">
        <w:rPr>
          <w:rFonts w:ascii="Times New Roman" w:hAnsi="Times New Roman"/>
          <w:bCs/>
          <w:color w:val="000000" w:themeColor="text1"/>
          <w:sz w:val="20"/>
          <w:szCs w:val="20"/>
        </w:rPr>
        <w:t>Zalk</w:t>
      </w:r>
      <w:proofErr w:type="spellEnd"/>
      <w:r w:rsidRPr="00BC3959">
        <w:rPr>
          <w:rFonts w:ascii="Times New Roman" w:hAnsi="Times New Roman"/>
          <w:bCs/>
          <w:color w:val="000000" w:themeColor="text1"/>
          <w:sz w:val="20"/>
          <w:szCs w:val="20"/>
        </w:rPr>
        <w:t xml:space="preserve"> &amp; </w:t>
      </w:r>
      <w:proofErr w:type="spellStart"/>
      <w:r w:rsidRPr="00BC3959">
        <w:rPr>
          <w:rFonts w:ascii="Times New Roman" w:hAnsi="Times New Roman"/>
          <w:bCs/>
          <w:color w:val="000000" w:themeColor="text1"/>
          <w:sz w:val="20"/>
          <w:szCs w:val="20"/>
        </w:rPr>
        <w:t>Denissen</w:t>
      </w:r>
      <w:proofErr w:type="spellEnd"/>
      <w:r w:rsidRPr="00BC3959">
        <w:rPr>
          <w:rFonts w:ascii="Times New Roman" w:hAnsi="Times New Roman"/>
          <w:bCs/>
          <w:color w:val="000000" w:themeColor="text1"/>
          <w:sz w:val="20"/>
          <w:szCs w:val="20"/>
        </w:rPr>
        <w:t xml:space="preserve">, 2015). Ki et al. (2020) found that the perceived feelings of para-social presence, or “the extent to which users perceive social cues from an online medium (i.e., social actor as a medium) or … the extent to which a person or an entity within an online medium develops social relationship with its users (i.e., social actor within medium)” (p. 2) of an AI agent enhanced social response among users. Researchers have primarily used humanoid physical features/gestures to enhance AI agents’ human-likeness and social presence (Hwang et al., 2013; Luo et al., 2019). However, one of the most prevalently employed forms of a conversational AI agent in the retail industry, such as the H&amp;M and Tommy Hilfiger agents described above, is a chatbot, a text-modality-based conversational AI agent, which cannot project human-likeness through physical features/gestures. Little is known about how a chatbot can enhance its para-social presence. </w:t>
      </w:r>
      <w:r w:rsidRPr="00BC3959">
        <w:rPr>
          <w:rFonts w:ascii="Times New Roman" w:hAnsi="Times New Roman"/>
          <w:bCs/>
          <w:sz w:val="20"/>
          <w:szCs w:val="20"/>
        </w:rPr>
        <w:t>Therefore, the purpose of this abstract is to discuss potential characteristics of a chatbot and propose a conceptual model delineating the impact of such characteristics in influencing a chatbot’s para-social presence</w:t>
      </w:r>
      <w:r w:rsidRPr="00BC3959">
        <w:rPr>
          <w:rFonts w:ascii="Times New Roman" w:hAnsi="Times New Roman"/>
          <w:bCs/>
          <w:color w:val="000000" w:themeColor="text1"/>
          <w:sz w:val="20"/>
          <w:szCs w:val="20"/>
        </w:rPr>
        <w:t xml:space="preserve">. </w:t>
      </w:r>
    </w:p>
    <w:p w14:paraId="1F2A4E03" w14:textId="75724264" w:rsidR="00BC3959" w:rsidRPr="00AE0753" w:rsidRDefault="00BC3959" w:rsidP="0095085C">
      <w:pPr>
        <w:jc w:val="center"/>
        <w:rPr>
          <w:rFonts w:ascii="Times New Roman" w:hAnsi="Times New Roman"/>
          <w:bCs/>
          <w:color w:val="000000" w:themeColor="text1"/>
          <w:sz w:val="20"/>
          <w:szCs w:val="20"/>
        </w:rPr>
      </w:pPr>
      <w:r w:rsidRPr="00AE0753">
        <w:rPr>
          <w:rFonts w:ascii="Times New Roman" w:hAnsi="Times New Roman"/>
          <w:b/>
          <w:bCs/>
          <w:color w:val="000000" w:themeColor="text1"/>
          <w:sz w:val="20"/>
          <w:szCs w:val="20"/>
        </w:rPr>
        <w:t>Literature, Propositions, and Conceptual Model</w:t>
      </w:r>
    </w:p>
    <w:p w14:paraId="34FF89D4" w14:textId="77777777" w:rsidR="00BC3959" w:rsidRPr="00BC3959" w:rsidRDefault="00BC3959" w:rsidP="00BC3959">
      <w:pPr>
        <w:ind w:firstLine="720"/>
        <w:contextualSpacing/>
        <w:rPr>
          <w:rFonts w:ascii="Times New Roman" w:hAnsi="Times New Roman"/>
          <w:bCs/>
          <w:color w:val="000000" w:themeColor="text1"/>
          <w:sz w:val="20"/>
          <w:szCs w:val="20"/>
        </w:rPr>
      </w:pPr>
      <w:r w:rsidRPr="00BC3959">
        <w:rPr>
          <w:rFonts w:ascii="Times New Roman" w:hAnsi="Times New Roman"/>
          <w:bCs/>
          <w:color w:val="000000" w:themeColor="text1"/>
          <w:sz w:val="20"/>
          <w:szCs w:val="20"/>
        </w:rPr>
        <w:t xml:space="preserve">According to the Computers Are Social Actors (CASA, Nass, 1994) paradigm, humans respond to computers socially and experience similar social-psychological interactions as they do when they interact with humans. In the context of interacting with chatbots, para-social presence can be described as the extent to which users perceive social cues from and develop social relationships with a chatbot. According to Ki et al. (2000), para-social presence can be manifested in terms of intimacy (i.e., perceived feelings of closeness and attachment with a chatbot), understanding (i.e., the degree to which a chatbot is perceived to be understanding of the users’ intentions, needs, and emotions), enjoyability (i.e., the degree to which a chatbot is perceived friendly, fun, and pleasant), and involvement (i.e., the degree to which a chatbot is perceived to be engaged in or having immersive interaction with the users). The ability of a chatbot in expressing emotional depth, such as a chatbot’s use of </w:t>
      </w:r>
      <w:r w:rsidRPr="00BC3959">
        <w:rPr>
          <w:rFonts w:ascii="Times New Roman" w:hAnsi="Times New Roman"/>
          <w:bCs/>
          <w:i/>
          <w:iCs/>
          <w:color w:val="000000" w:themeColor="text1"/>
          <w:sz w:val="20"/>
          <w:szCs w:val="20"/>
        </w:rPr>
        <w:t>empathetic cues</w:t>
      </w:r>
      <w:r w:rsidRPr="00BC3959">
        <w:rPr>
          <w:rFonts w:ascii="Times New Roman" w:hAnsi="Times New Roman"/>
          <w:bCs/>
          <w:color w:val="000000" w:themeColor="text1"/>
          <w:sz w:val="20"/>
          <w:szCs w:val="20"/>
        </w:rPr>
        <w:t xml:space="preserve"> in its natural language (e.g., customizing the nature of conversation according to the users’ personality) can enhance social presence in terms of intimacy and understanding with the users (</w:t>
      </w:r>
      <w:proofErr w:type="spellStart"/>
      <w:r w:rsidRPr="00BC3959">
        <w:rPr>
          <w:rFonts w:ascii="Times New Roman" w:hAnsi="Times New Roman"/>
          <w:bCs/>
          <w:color w:val="000000" w:themeColor="text1"/>
          <w:sz w:val="20"/>
          <w:szCs w:val="20"/>
        </w:rPr>
        <w:t>Croes</w:t>
      </w:r>
      <w:proofErr w:type="spellEnd"/>
      <w:r w:rsidRPr="00BC3959">
        <w:rPr>
          <w:rFonts w:ascii="Times New Roman" w:hAnsi="Times New Roman"/>
          <w:bCs/>
          <w:color w:val="000000" w:themeColor="text1"/>
          <w:sz w:val="20"/>
          <w:szCs w:val="20"/>
        </w:rPr>
        <w:t xml:space="preserve"> &amp; </w:t>
      </w:r>
      <w:proofErr w:type="spellStart"/>
      <w:r w:rsidRPr="00BC3959">
        <w:rPr>
          <w:rFonts w:ascii="Times New Roman" w:hAnsi="Times New Roman"/>
          <w:bCs/>
          <w:color w:val="000000" w:themeColor="text1"/>
          <w:sz w:val="20"/>
          <w:szCs w:val="20"/>
        </w:rPr>
        <w:t>Antheunis</w:t>
      </w:r>
      <w:proofErr w:type="spellEnd"/>
      <w:r w:rsidRPr="00BC3959">
        <w:rPr>
          <w:rFonts w:ascii="Times New Roman" w:hAnsi="Times New Roman"/>
          <w:bCs/>
          <w:color w:val="000000" w:themeColor="text1"/>
          <w:sz w:val="20"/>
          <w:szCs w:val="20"/>
        </w:rPr>
        <w:t xml:space="preserve">, 2021). </w:t>
      </w:r>
      <w:r w:rsidRPr="00BC3959">
        <w:rPr>
          <w:rFonts w:ascii="Times New Roman" w:hAnsi="Times New Roman"/>
          <w:bCs/>
          <w:i/>
          <w:iCs/>
          <w:color w:val="000000" w:themeColor="text1"/>
          <w:sz w:val="20"/>
          <w:szCs w:val="20"/>
        </w:rPr>
        <w:t>Para-linguistic cues</w:t>
      </w:r>
      <w:r w:rsidRPr="00BC3959">
        <w:rPr>
          <w:rFonts w:ascii="Times New Roman" w:hAnsi="Times New Roman"/>
          <w:bCs/>
          <w:color w:val="000000" w:themeColor="text1"/>
          <w:sz w:val="20"/>
          <w:szCs w:val="20"/>
        </w:rPr>
        <w:t xml:space="preserve"> (e.g., use of ellipses, repetition of exclamation marks, and capitalization of words, which convey emotions) and </w:t>
      </w:r>
      <w:r w:rsidRPr="00BC3959">
        <w:rPr>
          <w:rFonts w:ascii="Times New Roman" w:hAnsi="Times New Roman"/>
          <w:bCs/>
          <w:i/>
          <w:iCs/>
          <w:color w:val="000000" w:themeColor="text1"/>
          <w:sz w:val="20"/>
          <w:szCs w:val="20"/>
        </w:rPr>
        <w:t>back-channeling cues</w:t>
      </w:r>
      <w:r w:rsidRPr="00BC3959">
        <w:rPr>
          <w:rFonts w:ascii="Times New Roman" w:hAnsi="Times New Roman"/>
          <w:bCs/>
          <w:color w:val="000000" w:themeColor="text1"/>
          <w:sz w:val="20"/>
          <w:szCs w:val="20"/>
        </w:rPr>
        <w:t xml:space="preserve"> (e.g., repetitions of words from user inputs indicating the chatbot’s attentiveness) positively influence the perceived closeness and co-presence with a chatbot (Lee et al., 2020). Long-term relationships could be established between a chatbot and its users when the chatbot can recognize human feelings and users’ intents from long chat-based conversations (Zhou et al., 2019). In lieu of body language/facial expression to elicit human-likeness and social presence, chatbots’ use of</w:t>
      </w:r>
      <w:r w:rsidRPr="00BC3959">
        <w:rPr>
          <w:rFonts w:ascii="Times New Roman" w:hAnsi="Times New Roman"/>
          <w:bCs/>
          <w:i/>
          <w:iCs/>
          <w:color w:val="000000" w:themeColor="text1"/>
          <w:sz w:val="20"/>
          <w:szCs w:val="20"/>
        </w:rPr>
        <w:t xml:space="preserve"> emojis</w:t>
      </w:r>
      <w:r w:rsidRPr="00BC3959">
        <w:rPr>
          <w:rFonts w:ascii="Times New Roman" w:hAnsi="Times New Roman"/>
          <w:bCs/>
          <w:color w:val="000000" w:themeColor="text1"/>
          <w:sz w:val="20"/>
          <w:szCs w:val="20"/>
        </w:rPr>
        <w:t xml:space="preserve"> in the chat may help simulate emotion expressions, enhancing </w:t>
      </w:r>
      <w:r w:rsidRPr="00BC3959">
        <w:rPr>
          <w:rFonts w:ascii="Times New Roman" w:hAnsi="Times New Roman"/>
          <w:bCs/>
          <w:color w:val="000000" w:themeColor="text1"/>
          <w:sz w:val="20"/>
          <w:szCs w:val="20"/>
        </w:rPr>
        <w:lastRenderedPageBreak/>
        <w:t xml:space="preserve">the social presence of the chatbot. Based on this discussion, we propose that increasing the number and frequency of the social cues in a conversation in the form of para-linguistic cues (Proposition 1 or P1), backchannelling cues (P2), empathetic cues (P3), and emojis (P4) will enhance the para-social presence of a chatbot. </w:t>
      </w:r>
    </w:p>
    <w:p w14:paraId="44B40002" w14:textId="59F62974" w:rsidR="00EE0909" w:rsidRPr="00BC3959" w:rsidRDefault="00BC3959" w:rsidP="00D72A03">
      <w:pPr>
        <w:ind w:firstLine="720"/>
        <w:contextualSpacing/>
        <w:rPr>
          <w:rFonts w:ascii="Times New Roman" w:hAnsi="Times New Roman"/>
          <w:bCs/>
          <w:color w:val="000000" w:themeColor="text1"/>
          <w:sz w:val="20"/>
          <w:szCs w:val="20"/>
        </w:rPr>
      </w:pPr>
      <w:r w:rsidRPr="00BC3959">
        <w:rPr>
          <w:rFonts w:ascii="Times New Roman" w:hAnsi="Times New Roman"/>
          <w:bCs/>
          <w:color w:val="000000" w:themeColor="text1"/>
          <w:sz w:val="20"/>
          <w:szCs w:val="20"/>
        </w:rPr>
        <w:t xml:space="preserve">More </w:t>
      </w:r>
      <w:r w:rsidRPr="00BC3959">
        <w:rPr>
          <w:rFonts w:ascii="Times New Roman" w:hAnsi="Times New Roman"/>
          <w:color w:val="000000" w:themeColor="text1"/>
          <w:sz w:val="20"/>
          <w:szCs w:val="20"/>
        </w:rPr>
        <w:t xml:space="preserve">extraverted </w:t>
      </w:r>
      <w:r w:rsidRPr="00BC3959">
        <w:rPr>
          <w:rFonts w:ascii="Times New Roman" w:hAnsi="Times New Roman"/>
          <w:color w:val="000000"/>
          <w:sz w:val="20"/>
          <w:szCs w:val="20"/>
        </w:rPr>
        <w:t>(e.g., talkative and assertive)</w:t>
      </w:r>
      <w:r w:rsidRPr="00BC3959">
        <w:rPr>
          <w:rFonts w:ascii="Times New Roman" w:hAnsi="Times New Roman"/>
          <w:color w:val="000000" w:themeColor="text1"/>
          <w:sz w:val="20"/>
          <w:szCs w:val="20"/>
        </w:rPr>
        <w:t xml:space="preserve">, more open </w:t>
      </w:r>
      <w:r w:rsidRPr="00BC3959">
        <w:rPr>
          <w:rFonts w:ascii="Times New Roman" w:hAnsi="Times New Roman"/>
          <w:color w:val="000000"/>
          <w:sz w:val="20"/>
          <w:szCs w:val="20"/>
        </w:rPr>
        <w:t>(i.e., imaginative and liking to do new things)</w:t>
      </w:r>
      <w:r w:rsidRPr="00BC3959">
        <w:rPr>
          <w:rFonts w:ascii="Times New Roman" w:hAnsi="Times New Roman"/>
          <w:color w:val="000000" w:themeColor="text1"/>
          <w:sz w:val="20"/>
          <w:szCs w:val="20"/>
        </w:rPr>
        <w:t xml:space="preserve">, more agreeable </w:t>
      </w:r>
      <w:r w:rsidRPr="00BC3959">
        <w:rPr>
          <w:rFonts w:ascii="Times New Roman" w:hAnsi="Times New Roman"/>
          <w:color w:val="000000"/>
          <w:sz w:val="20"/>
          <w:szCs w:val="20"/>
        </w:rPr>
        <w:t>(i.e., social and helpful)</w:t>
      </w:r>
      <w:r w:rsidRPr="00BC3959">
        <w:rPr>
          <w:rFonts w:ascii="Times New Roman" w:hAnsi="Times New Roman"/>
          <w:color w:val="000000" w:themeColor="text1"/>
          <w:sz w:val="20"/>
          <w:szCs w:val="20"/>
        </w:rPr>
        <w:t xml:space="preserve">, more conscientious </w:t>
      </w:r>
      <w:r w:rsidRPr="00BC3959">
        <w:rPr>
          <w:rFonts w:ascii="Times New Roman" w:hAnsi="Times New Roman"/>
          <w:color w:val="000000"/>
          <w:sz w:val="20"/>
          <w:szCs w:val="20"/>
        </w:rPr>
        <w:t>(i.e., reliable)</w:t>
      </w:r>
      <w:r w:rsidRPr="00BC3959">
        <w:rPr>
          <w:rFonts w:ascii="Times New Roman" w:hAnsi="Times New Roman"/>
          <w:color w:val="000000" w:themeColor="text1"/>
          <w:sz w:val="20"/>
          <w:szCs w:val="20"/>
        </w:rPr>
        <w:t xml:space="preserve">, and less neurotic </w:t>
      </w:r>
      <w:r w:rsidRPr="00BC3959">
        <w:rPr>
          <w:rFonts w:ascii="Times New Roman" w:hAnsi="Times New Roman"/>
          <w:color w:val="000000"/>
          <w:sz w:val="20"/>
          <w:szCs w:val="20"/>
        </w:rPr>
        <w:t xml:space="preserve">(e.g., emotionally stable) </w:t>
      </w:r>
      <w:r w:rsidRPr="00BC3959">
        <w:rPr>
          <w:rFonts w:ascii="Times New Roman" w:hAnsi="Times New Roman"/>
          <w:color w:val="000000" w:themeColor="text1"/>
          <w:sz w:val="20"/>
          <w:szCs w:val="20"/>
        </w:rPr>
        <w:t xml:space="preserve">individuals maintain better social/friendly relationships (Barrio, 2004; </w:t>
      </w:r>
      <w:proofErr w:type="spellStart"/>
      <w:r w:rsidRPr="00BC3959">
        <w:rPr>
          <w:rFonts w:ascii="Times New Roman" w:hAnsi="Times New Roman"/>
          <w:color w:val="000000" w:themeColor="text1"/>
          <w:sz w:val="20"/>
          <w:szCs w:val="20"/>
        </w:rPr>
        <w:t>Selfhout</w:t>
      </w:r>
      <w:proofErr w:type="spellEnd"/>
      <w:r w:rsidRPr="00BC3959">
        <w:rPr>
          <w:rFonts w:ascii="Times New Roman" w:hAnsi="Times New Roman"/>
          <w:color w:val="000000" w:themeColor="text1"/>
          <w:sz w:val="20"/>
          <w:szCs w:val="20"/>
        </w:rPr>
        <w:t xml:space="preserve"> et al., 2010).</w:t>
      </w:r>
      <w:r w:rsidRPr="00BC3959">
        <w:rPr>
          <w:rFonts w:ascii="Times New Roman" w:hAnsi="Times New Roman"/>
          <w:color w:val="000000"/>
          <w:sz w:val="20"/>
          <w:szCs w:val="20"/>
        </w:rPr>
        <w:t xml:space="preserve"> We propose chatbots’ social cues can impact users’ judgment of the chatbot’s personality traits (P5), and that a chatbot enduing the personality traits (i.e., high extraversion, openness, conscientiousness, agreeableness, and low neuroticism) exhibiting a friendly personality may </w:t>
      </w:r>
      <w:r w:rsidRPr="00BC3959">
        <w:rPr>
          <w:rFonts w:ascii="Times New Roman" w:hAnsi="Times New Roman"/>
          <w:bCs/>
          <w:color w:val="000000" w:themeColor="text1"/>
          <w:sz w:val="20"/>
          <w:szCs w:val="20"/>
        </w:rPr>
        <w:t xml:space="preserve">increase its para-social presence </w:t>
      </w:r>
      <w:r w:rsidRPr="00BC3959">
        <w:rPr>
          <w:rFonts w:ascii="Times New Roman" w:hAnsi="Times New Roman"/>
          <w:color w:val="000000"/>
          <w:sz w:val="20"/>
          <w:szCs w:val="20"/>
        </w:rPr>
        <w:t>(P6)</w:t>
      </w:r>
      <w:r w:rsidRPr="00BC3959">
        <w:rPr>
          <w:rFonts w:ascii="Times New Roman" w:hAnsi="Times New Roman"/>
          <w:bCs/>
          <w:color w:val="000000" w:themeColor="text1"/>
          <w:sz w:val="20"/>
          <w:szCs w:val="20"/>
        </w:rPr>
        <w:t xml:space="preserve">. According to the construal level theory (CLT), the higher the degree to which people find themselves similar to another individual, the lower becomes the psychological social distance between them (Trope et al., 2007). In human-human interactions, perceived similarity in personality facilitates friendship formation (Lee et al., 2009; </w:t>
      </w:r>
      <w:proofErr w:type="spellStart"/>
      <w:r w:rsidRPr="00BC3959">
        <w:rPr>
          <w:rFonts w:ascii="Times New Roman" w:hAnsi="Times New Roman"/>
          <w:bCs/>
          <w:color w:val="000000" w:themeColor="text1"/>
          <w:sz w:val="20"/>
          <w:szCs w:val="20"/>
        </w:rPr>
        <w:t>Zalk</w:t>
      </w:r>
      <w:proofErr w:type="spellEnd"/>
      <w:r w:rsidRPr="00BC3959">
        <w:rPr>
          <w:rFonts w:ascii="Times New Roman" w:hAnsi="Times New Roman"/>
          <w:bCs/>
          <w:color w:val="000000" w:themeColor="text1"/>
          <w:sz w:val="20"/>
          <w:szCs w:val="20"/>
        </w:rPr>
        <w:t xml:space="preserve"> &amp; </w:t>
      </w:r>
      <w:proofErr w:type="spellStart"/>
      <w:r w:rsidRPr="00BC3959">
        <w:rPr>
          <w:rFonts w:ascii="Times New Roman" w:hAnsi="Times New Roman"/>
          <w:bCs/>
          <w:color w:val="000000" w:themeColor="text1"/>
          <w:sz w:val="20"/>
          <w:szCs w:val="20"/>
        </w:rPr>
        <w:t>Denissen</w:t>
      </w:r>
      <w:proofErr w:type="spellEnd"/>
      <w:r w:rsidRPr="00BC3959">
        <w:rPr>
          <w:rFonts w:ascii="Times New Roman" w:hAnsi="Times New Roman"/>
          <w:bCs/>
          <w:color w:val="000000" w:themeColor="text1"/>
          <w:sz w:val="20"/>
          <w:szCs w:val="20"/>
        </w:rPr>
        <w:t>, 2015). This similarity ensures that an individual understands the hopes, plans, and worries that the other individual is sharing, strengthening the emotional connection (Izard, 1960). Thus, the congruence in the chatbot-user personality traits may increase the para-social presence (P7). A conceptual model integrating the above seven propositions is presented in Figure 1.</w:t>
      </w:r>
    </w:p>
    <w:p w14:paraId="7F810E31" w14:textId="77777777" w:rsidR="00EE0909" w:rsidRDefault="00EE0909" w:rsidP="0095085C">
      <w:pPr>
        <w:ind w:firstLine="720"/>
        <w:rPr>
          <w:rFonts w:ascii="Times New Roman" w:hAnsi="Times New Roman"/>
          <w:bCs/>
          <w:color w:val="000000" w:themeColor="text1"/>
          <w:sz w:val="20"/>
          <w:szCs w:val="20"/>
        </w:rPr>
      </w:pPr>
      <w:bookmarkStart w:id="0" w:name="_GoBack"/>
      <w:r>
        <w:rPr>
          <w:rFonts w:ascii="Times New Roman" w:hAnsi="Times New Roman"/>
          <w:bCs/>
          <w:noProof/>
          <w:color w:val="000000" w:themeColor="text1"/>
          <w:sz w:val="20"/>
          <w:szCs w:val="20"/>
        </w:rPr>
        <w:drawing>
          <wp:inline distT="0" distB="0" distL="0" distR="0" wp14:anchorId="584CEF79" wp14:editId="34E44A93">
            <wp:extent cx="5178227" cy="14478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2021-11-15 12.38.15.png"/>
                    <pic:cNvPicPr/>
                  </pic:nvPicPr>
                  <pic:blipFill>
                    <a:blip r:embed="rId8">
                      <a:extLst>
                        <a:ext uri="{28A0092B-C50C-407E-A947-70E740481C1C}">
                          <a14:useLocalDpi xmlns:a14="http://schemas.microsoft.com/office/drawing/2010/main" val="0"/>
                        </a:ext>
                      </a:extLst>
                    </a:blip>
                    <a:stretch>
                      <a:fillRect/>
                    </a:stretch>
                  </pic:blipFill>
                  <pic:spPr>
                    <a:xfrm>
                      <a:off x="0" y="0"/>
                      <a:ext cx="5407660" cy="1511948"/>
                    </a:xfrm>
                    <a:prstGeom prst="rect">
                      <a:avLst/>
                    </a:prstGeom>
                  </pic:spPr>
                </pic:pic>
              </a:graphicData>
            </a:graphic>
          </wp:inline>
        </w:drawing>
      </w:r>
      <w:bookmarkEnd w:id="0"/>
    </w:p>
    <w:p w14:paraId="022AF716" w14:textId="6B7841CC" w:rsidR="00BC3959" w:rsidRPr="00BC3959" w:rsidRDefault="00BC3959" w:rsidP="00EE0909">
      <w:pPr>
        <w:ind w:firstLine="720"/>
        <w:jc w:val="center"/>
        <w:rPr>
          <w:rFonts w:ascii="Times New Roman" w:hAnsi="Times New Roman"/>
          <w:bCs/>
          <w:color w:val="000000" w:themeColor="text1"/>
          <w:sz w:val="20"/>
          <w:szCs w:val="20"/>
        </w:rPr>
      </w:pPr>
      <w:r w:rsidRPr="00BC3959">
        <w:rPr>
          <w:rFonts w:ascii="Times New Roman" w:hAnsi="Times New Roman"/>
          <w:bCs/>
          <w:i/>
          <w:iCs/>
          <w:color w:val="000000" w:themeColor="text1"/>
          <w:sz w:val="20"/>
          <w:szCs w:val="20"/>
        </w:rPr>
        <w:t>Figure 1.</w:t>
      </w:r>
      <w:r w:rsidRPr="00BC3959">
        <w:rPr>
          <w:rFonts w:ascii="Times New Roman" w:hAnsi="Times New Roman"/>
          <w:bCs/>
          <w:color w:val="000000" w:themeColor="text1"/>
          <w:sz w:val="20"/>
          <w:szCs w:val="20"/>
        </w:rPr>
        <w:t xml:space="preserve"> Conceptual model of antecedents to para-social presence of a chatbot.</w:t>
      </w:r>
    </w:p>
    <w:p w14:paraId="4555B646" w14:textId="77777777" w:rsidR="00BC3959" w:rsidRPr="00AE0753" w:rsidRDefault="00BC3959" w:rsidP="00BC3959">
      <w:pPr>
        <w:ind w:firstLine="720"/>
        <w:jc w:val="center"/>
        <w:rPr>
          <w:rFonts w:ascii="Times New Roman" w:hAnsi="Times New Roman"/>
          <w:b/>
          <w:bCs/>
          <w:color w:val="000000" w:themeColor="text1"/>
          <w:sz w:val="20"/>
          <w:szCs w:val="20"/>
        </w:rPr>
      </w:pPr>
      <w:r w:rsidRPr="00AE0753">
        <w:rPr>
          <w:rFonts w:ascii="Times New Roman" w:hAnsi="Times New Roman"/>
          <w:b/>
          <w:bCs/>
          <w:color w:val="000000" w:themeColor="text1"/>
          <w:sz w:val="20"/>
          <w:szCs w:val="20"/>
        </w:rPr>
        <w:t>Implications for Future Research</w:t>
      </w:r>
    </w:p>
    <w:p w14:paraId="043E6684" w14:textId="77777777" w:rsidR="00BC3959" w:rsidRPr="00BC3959" w:rsidRDefault="00BC3959" w:rsidP="00BC3959">
      <w:pPr>
        <w:ind w:firstLine="720"/>
        <w:rPr>
          <w:rFonts w:ascii="Times New Roman" w:hAnsi="Times New Roman"/>
          <w:sz w:val="20"/>
          <w:szCs w:val="20"/>
        </w:rPr>
      </w:pPr>
      <w:r w:rsidRPr="00BC3959">
        <w:rPr>
          <w:rFonts w:ascii="Times New Roman" w:hAnsi="Times New Roman"/>
          <w:color w:val="000000"/>
          <w:sz w:val="20"/>
          <w:szCs w:val="20"/>
        </w:rPr>
        <w:t xml:space="preserve">Based on our propositions, we suggest that increasing the number and frequency of social cues could project a chatbot as friendly, enhancing its para-social presence. For example, a friendly chatbot </w:t>
      </w:r>
      <w:r w:rsidRPr="00BC3959">
        <w:rPr>
          <w:rFonts w:ascii="Times New Roman" w:hAnsi="Times New Roman"/>
          <w:color w:val="000000" w:themeColor="text1"/>
          <w:sz w:val="20"/>
          <w:szCs w:val="20"/>
        </w:rPr>
        <w:t>may ask users’ names, reflecting high openness; use emojis, exclamation marks, and capitalized words/phrases expressing high extraversion and low neuroticism; and agree with or praise the users, reflecting high agreeableness. Future researchers could design chatbots with varying personality traits employing different social cues and empirically test their causal effects on the chatbots’ para-social presence in a retail context (e.g., finding products/coupons for users). Researchers could test if the perceived congruence in the chatbot-user personality traits (e.g., friendliness) enhances the social presence of the chatbot. However, depending upon the context where a chatbot is deployed, users may desire varying degrees of para-social presence of the chatbot. Researchers can test how different contextual factors moderate the relationships between the perceived social cues conveyed by the chatbot and its para-social presence.</w:t>
      </w:r>
    </w:p>
    <w:p w14:paraId="46308CE3" w14:textId="1AB8689D" w:rsidR="00BC3959" w:rsidRPr="00BC3959" w:rsidRDefault="00BC3959" w:rsidP="00BC3959">
      <w:pPr>
        <w:jc w:val="center"/>
        <w:rPr>
          <w:rFonts w:ascii="Times New Roman" w:hAnsi="Times New Roman"/>
          <w:bCs/>
          <w:color w:val="000000" w:themeColor="text1"/>
          <w:sz w:val="20"/>
          <w:szCs w:val="20"/>
        </w:rPr>
      </w:pPr>
      <w:r w:rsidRPr="00AE0753">
        <w:rPr>
          <w:rFonts w:ascii="Times New Roman" w:hAnsi="Times New Roman"/>
          <w:b/>
          <w:bCs/>
          <w:color w:val="000000" w:themeColor="text1"/>
          <w:sz w:val="20"/>
          <w:szCs w:val="20"/>
        </w:rPr>
        <w:t>References</w:t>
      </w:r>
    </w:p>
    <w:p w14:paraId="4F99B270" w14:textId="77777777" w:rsidR="00BC3959" w:rsidRPr="00BC3959" w:rsidRDefault="00BC3959" w:rsidP="00D72A03">
      <w:pPr>
        <w:tabs>
          <w:tab w:val="right" w:pos="450"/>
        </w:tabs>
        <w:ind w:left="540" w:hanging="540"/>
        <w:rPr>
          <w:rFonts w:ascii="Times New Roman" w:hAnsi="Times New Roman"/>
          <w:color w:val="000000" w:themeColor="text1"/>
          <w:sz w:val="20"/>
          <w:szCs w:val="20"/>
        </w:rPr>
      </w:pPr>
      <w:r w:rsidRPr="00BC3959">
        <w:rPr>
          <w:rFonts w:ascii="Times New Roman" w:hAnsi="Times New Roman"/>
          <w:color w:val="000000" w:themeColor="text1"/>
          <w:sz w:val="20"/>
          <w:szCs w:val="20"/>
          <w:shd w:val="clear" w:color="auto" w:fill="FFFFFF"/>
        </w:rPr>
        <w:t xml:space="preserve">Barrio, V. D., </w:t>
      </w:r>
      <w:proofErr w:type="spellStart"/>
      <w:r w:rsidRPr="00BC3959">
        <w:rPr>
          <w:rFonts w:ascii="Times New Roman" w:hAnsi="Times New Roman"/>
          <w:color w:val="000000" w:themeColor="text1"/>
          <w:sz w:val="20"/>
          <w:szCs w:val="20"/>
          <w:shd w:val="clear" w:color="auto" w:fill="FFFFFF"/>
        </w:rPr>
        <w:t>Aluja</w:t>
      </w:r>
      <w:proofErr w:type="spellEnd"/>
      <w:r w:rsidRPr="00BC3959">
        <w:rPr>
          <w:rFonts w:ascii="Times New Roman" w:hAnsi="Times New Roman"/>
          <w:color w:val="000000" w:themeColor="text1"/>
          <w:sz w:val="20"/>
          <w:szCs w:val="20"/>
          <w:shd w:val="clear" w:color="auto" w:fill="FFFFFF"/>
        </w:rPr>
        <w:t>, A., &amp; García, L. F. (2004). Relationship between empathy and the big five personality traits in a sample of Spanish adolescents. </w:t>
      </w:r>
      <w:r w:rsidRPr="00BC3959">
        <w:rPr>
          <w:rFonts w:ascii="Times New Roman" w:hAnsi="Times New Roman"/>
          <w:i/>
          <w:iCs/>
          <w:color w:val="000000" w:themeColor="text1"/>
          <w:sz w:val="20"/>
          <w:szCs w:val="20"/>
          <w:shd w:val="clear" w:color="auto" w:fill="FFFFFF"/>
        </w:rPr>
        <w:t>Social Behavior and Personality: An International Journal</w:t>
      </w:r>
      <w:r w:rsidRPr="00BC3959">
        <w:rPr>
          <w:rFonts w:ascii="Times New Roman" w:hAnsi="Times New Roman"/>
          <w:color w:val="000000" w:themeColor="text1"/>
          <w:sz w:val="20"/>
          <w:szCs w:val="20"/>
          <w:shd w:val="clear" w:color="auto" w:fill="FFFFFF"/>
        </w:rPr>
        <w:t>, </w:t>
      </w:r>
      <w:r w:rsidRPr="00BC3959">
        <w:rPr>
          <w:rFonts w:ascii="Times New Roman" w:hAnsi="Times New Roman"/>
          <w:i/>
          <w:iCs/>
          <w:color w:val="000000" w:themeColor="text1"/>
          <w:sz w:val="20"/>
          <w:szCs w:val="20"/>
          <w:shd w:val="clear" w:color="auto" w:fill="FFFFFF"/>
        </w:rPr>
        <w:t>32</w:t>
      </w:r>
      <w:r w:rsidRPr="00BC3959">
        <w:rPr>
          <w:rFonts w:ascii="Times New Roman" w:hAnsi="Times New Roman"/>
          <w:color w:val="000000" w:themeColor="text1"/>
          <w:sz w:val="20"/>
          <w:szCs w:val="20"/>
          <w:shd w:val="clear" w:color="auto" w:fill="FFFFFF"/>
        </w:rPr>
        <w:t>(7), 677-682.</w:t>
      </w:r>
    </w:p>
    <w:p w14:paraId="565F4196" w14:textId="77777777" w:rsidR="00BC3959" w:rsidRPr="00BC3959" w:rsidRDefault="00BC3959" w:rsidP="00BC3959">
      <w:pPr>
        <w:ind w:left="720" w:hanging="720"/>
        <w:rPr>
          <w:rFonts w:ascii="Times New Roman" w:hAnsi="Times New Roman"/>
          <w:sz w:val="20"/>
          <w:szCs w:val="20"/>
        </w:rPr>
      </w:pPr>
      <w:proofErr w:type="spellStart"/>
      <w:r w:rsidRPr="00BC3959">
        <w:rPr>
          <w:rFonts w:ascii="Times New Roman" w:hAnsi="Times New Roman"/>
          <w:color w:val="222222"/>
          <w:sz w:val="20"/>
          <w:szCs w:val="20"/>
          <w:shd w:val="clear" w:color="auto" w:fill="FFFFFF"/>
        </w:rPr>
        <w:lastRenderedPageBreak/>
        <w:t>Croes</w:t>
      </w:r>
      <w:proofErr w:type="spellEnd"/>
      <w:r w:rsidRPr="00BC3959">
        <w:rPr>
          <w:rFonts w:ascii="Times New Roman" w:hAnsi="Times New Roman"/>
          <w:color w:val="222222"/>
          <w:sz w:val="20"/>
          <w:szCs w:val="20"/>
          <w:shd w:val="clear" w:color="auto" w:fill="FFFFFF"/>
        </w:rPr>
        <w:t xml:space="preserve">, E. A., &amp; </w:t>
      </w:r>
      <w:proofErr w:type="spellStart"/>
      <w:r w:rsidRPr="00BC3959">
        <w:rPr>
          <w:rFonts w:ascii="Times New Roman" w:hAnsi="Times New Roman"/>
          <w:color w:val="222222"/>
          <w:sz w:val="20"/>
          <w:szCs w:val="20"/>
          <w:shd w:val="clear" w:color="auto" w:fill="FFFFFF"/>
        </w:rPr>
        <w:t>Antheunis</w:t>
      </w:r>
      <w:proofErr w:type="spellEnd"/>
      <w:r w:rsidRPr="00BC3959">
        <w:rPr>
          <w:rFonts w:ascii="Times New Roman" w:hAnsi="Times New Roman"/>
          <w:color w:val="222222"/>
          <w:sz w:val="20"/>
          <w:szCs w:val="20"/>
          <w:shd w:val="clear" w:color="auto" w:fill="FFFFFF"/>
        </w:rPr>
        <w:t xml:space="preserve">, M. L. (2021). Can we be friends with </w:t>
      </w:r>
      <w:proofErr w:type="spellStart"/>
      <w:r w:rsidRPr="00BC3959">
        <w:rPr>
          <w:rFonts w:ascii="Times New Roman" w:hAnsi="Times New Roman"/>
          <w:color w:val="222222"/>
          <w:sz w:val="20"/>
          <w:szCs w:val="20"/>
          <w:shd w:val="clear" w:color="auto" w:fill="FFFFFF"/>
        </w:rPr>
        <w:t>Mitsuku</w:t>
      </w:r>
      <w:proofErr w:type="spellEnd"/>
      <w:r w:rsidRPr="00BC3959">
        <w:rPr>
          <w:rFonts w:ascii="Times New Roman" w:hAnsi="Times New Roman"/>
          <w:color w:val="222222"/>
          <w:sz w:val="20"/>
          <w:szCs w:val="20"/>
          <w:shd w:val="clear" w:color="auto" w:fill="FFFFFF"/>
        </w:rPr>
        <w:t>? A longitudinal study on the process of relationship formation between humans and a social chatbot. </w:t>
      </w:r>
      <w:r w:rsidRPr="00BC3959">
        <w:rPr>
          <w:rFonts w:ascii="Times New Roman" w:hAnsi="Times New Roman"/>
          <w:i/>
          <w:iCs/>
          <w:color w:val="222222"/>
          <w:sz w:val="20"/>
          <w:szCs w:val="20"/>
          <w:shd w:val="clear" w:color="auto" w:fill="FFFFFF"/>
        </w:rPr>
        <w:t>Journal of Social and Personal Relationships</w:t>
      </w:r>
      <w:r w:rsidRPr="00BC3959">
        <w:rPr>
          <w:rFonts w:ascii="Times New Roman" w:hAnsi="Times New Roman"/>
          <w:color w:val="222222"/>
          <w:sz w:val="20"/>
          <w:szCs w:val="20"/>
          <w:shd w:val="clear" w:color="auto" w:fill="FFFFFF"/>
        </w:rPr>
        <w:t>, </w:t>
      </w:r>
      <w:r w:rsidRPr="00BC3959">
        <w:rPr>
          <w:rFonts w:ascii="Times New Roman" w:hAnsi="Times New Roman"/>
          <w:i/>
          <w:iCs/>
          <w:color w:val="222222"/>
          <w:sz w:val="20"/>
          <w:szCs w:val="20"/>
          <w:shd w:val="clear" w:color="auto" w:fill="FFFFFF"/>
        </w:rPr>
        <w:t>38</w:t>
      </w:r>
      <w:r w:rsidRPr="00BC3959">
        <w:rPr>
          <w:rFonts w:ascii="Times New Roman" w:hAnsi="Times New Roman"/>
          <w:color w:val="222222"/>
          <w:sz w:val="20"/>
          <w:szCs w:val="20"/>
          <w:shd w:val="clear" w:color="auto" w:fill="FFFFFF"/>
        </w:rPr>
        <w:t>(1), 279-300.</w:t>
      </w:r>
    </w:p>
    <w:p w14:paraId="1F63FB99"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 xml:space="preserve">Duck, S. W. (1973). Personality similarity and friendship choice: Similarity of what, when? </w:t>
      </w:r>
      <w:r w:rsidRPr="00BC3959">
        <w:rPr>
          <w:rFonts w:ascii="Times New Roman" w:hAnsi="Times New Roman"/>
          <w:bCs/>
          <w:i/>
          <w:iCs/>
          <w:color w:val="000000" w:themeColor="text1"/>
          <w:sz w:val="20"/>
          <w:szCs w:val="20"/>
          <w:shd w:val="clear" w:color="auto" w:fill="FFFFFF"/>
        </w:rPr>
        <w:t>Journal of Personality, 41</w:t>
      </w:r>
      <w:r w:rsidRPr="00BC3959">
        <w:rPr>
          <w:rFonts w:ascii="Times New Roman" w:hAnsi="Times New Roman"/>
          <w:bCs/>
          <w:color w:val="000000" w:themeColor="text1"/>
          <w:sz w:val="20"/>
          <w:szCs w:val="20"/>
          <w:shd w:val="clear" w:color="auto" w:fill="FFFFFF"/>
        </w:rPr>
        <w:t>(4),</w:t>
      </w:r>
      <w:r w:rsidRPr="00BC3959">
        <w:rPr>
          <w:rFonts w:ascii="Times New Roman" w:hAnsi="Times New Roman"/>
          <w:bCs/>
          <w:i/>
          <w:iCs/>
          <w:color w:val="000000" w:themeColor="text1"/>
          <w:sz w:val="20"/>
          <w:szCs w:val="20"/>
          <w:shd w:val="clear" w:color="auto" w:fill="FFFFFF"/>
        </w:rPr>
        <w:t xml:space="preserve"> </w:t>
      </w:r>
      <w:r w:rsidRPr="00BC3959">
        <w:rPr>
          <w:rFonts w:ascii="Times New Roman" w:hAnsi="Times New Roman"/>
          <w:bCs/>
          <w:color w:val="000000" w:themeColor="text1"/>
          <w:sz w:val="20"/>
          <w:szCs w:val="20"/>
          <w:shd w:val="clear" w:color="auto" w:fill="FFFFFF"/>
        </w:rPr>
        <w:t>543-559.</w:t>
      </w:r>
    </w:p>
    <w:p w14:paraId="59B7E9D5"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Hwang, J., Park, T., &amp; Hwang, W. (2013). The effects of overall robot shape on the emotions invoked in users and the perceived personalities of robot. </w:t>
      </w:r>
      <w:r w:rsidRPr="00BC3959">
        <w:rPr>
          <w:rFonts w:ascii="Times New Roman" w:hAnsi="Times New Roman"/>
          <w:bCs/>
          <w:i/>
          <w:iCs/>
          <w:color w:val="000000" w:themeColor="text1"/>
          <w:sz w:val="20"/>
          <w:szCs w:val="20"/>
          <w:shd w:val="clear" w:color="auto" w:fill="FFFFFF"/>
        </w:rPr>
        <w:t>Applied Ergonomics</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44</w:t>
      </w:r>
      <w:r w:rsidRPr="00BC3959">
        <w:rPr>
          <w:rFonts w:ascii="Times New Roman" w:hAnsi="Times New Roman"/>
          <w:bCs/>
          <w:color w:val="000000" w:themeColor="text1"/>
          <w:sz w:val="20"/>
          <w:szCs w:val="20"/>
          <w:shd w:val="clear" w:color="auto" w:fill="FFFFFF"/>
        </w:rPr>
        <w:t>(3), 459-471.</w:t>
      </w:r>
    </w:p>
    <w:p w14:paraId="7F9274A1"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Izard, C. (1960). Personality similarity and friendship. </w:t>
      </w:r>
      <w:r w:rsidRPr="00BC3959">
        <w:rPr>
          <w:rFonts w:ascii="Times New Roman" w:hAnsi="Times New Roman"/>
          <w:bCs/>
          <w:i/>
          <w:iCs/>
          <w:color w:val="000000" w:themeColor="text1"/>
          <w:sz w:val="20"/>
          <w:szCs w:val="20"/>
          <w:shd w:val="clear" w:color="auto" w:fill="FFFFFF"/>
        </w:rPr>
        <w:t>The Journal of Abnormal and Social Psychology</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61</w:t>
      </w:r>
      <w:r w:rsidRPr="00BC3959">
        <w:rPr>
          <w:rFonts w:ascii="Times New Roman" w:hAnsi="Times New Roman"/>
          <w:bCs/>
          <w:color w:val="000000" w:themeColor="text1"/>
          <w:sz w:val="20"/>
          <w:szCs w:val="20"/>
          <w:shd w:val="clear" w:color="auto" w:fill="FFFFFF"/>
        </w:rPr>
        <w:t>(1), 47-51.</w:t>
      </w:r>
    </w:p>
    <w:p w14:paraId="3091460A"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Ki, C. W. C., Cho, E., &amp; Lee, J. E. (2020). Can an intelligent personal assistant (IPA) be your friend? Para-friendship development mechanism between IPAs and their users. </w:t>
      </w:r>
      <w:r w:rsidRPr="00BC3959">
        <w:rPr>
          <w:rFonts w:ascii="Times New Roman" w:hAnsi="Times New Roman"/>
          <w:bCs/>
          <w:i/>
          <w:iCs/>
          <w:color w:val="000000" w:themeColor="text1"/>
          <w:sz w:val="20"/>
          <w:szCs w:val="20"/>
          <w:shd w:val="clear" w:color="auto" w:fill="FFFFFF"/>
        </w:rPr>
        <w:t>Computers in Human Behavior</w:t>
      </w:r>
      <w:r w:rsidRPr="00BC3959">
        <w:rPr>
          <w:rFonts w:ascii="Times New Roman" w:hAnsi="Times New Roman"/>
          <w:bCs/>
          <w:color w:val="000000" w:themeColor="text1"/>
          <w:sz w:val="20"/>
          <w:szCs w:val="20"/>
          <w:shd w:val="clear" w:color="auto" w:fill="FFFFFF"/>
        </w:rPr>
        <w:t>, 106412.</w:t>
      </w:r>
    </w:p>
    <w:p w14:paraId="5038C9B8"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 xml:space="preserve">Lee, K. M., Peng, W., </w:t>
      </w:r>
      <w:proofErr w:type="spellStart"/>
      <w:r w:rsidRPr="00BC3959">
        <w:rPr>
          <w:rFonts w:ascii="Times New Roman" w:hAnsi="Times New Roman"/>
          <w:bCs/>
          <w:color w:val="000000" w:themeColor="text1"/>
          <w:sz w:val="20"/>
          <w:szCs w:val="20"/>
          <w:shd w:val="clear" w:color="auto" w:fill="FFFFFF"/>
        </w:rPr>
        <w:t>Jin</w:t>
      </w:r>
      <w:proofErr w:type="spellEnd"/>
      <w:r w:rsidRPr="00BC3959">
        <w:rPr>
          <w:rFonts w:ascii="Times New Roman" w:hAnsi="Times New Roman"/>
          <w:bCs/>
          <w:color w:val="000000" w:themeColor="text1"/>
          <w:sz w:val="20"/>
          <w:szCs w:val="20"/>
          <w:shd w:val="clear" w:color="auto" w:fill="FFFFFF"/>
        </w:rPr>
        <w:t xml:space="preserve">, S. A., &amp; Yan, C. (2006). Can </w:t>
      </w:r>
      <w:proofErr w:type="gramStart"/>
      <w:r w:rsidRPr="00BC3959">
        <w:rPr>
          <w:rFonts w:ascii="Times New Roman" w:hAnsi="Times New Roman"/>
          <w:bCs/>
          <w:color w:val="000000" w:themeColor="text1"/>
          <w:sz w:val="20"/>
          <w:szCs w:val="20"/>
          <w:shd w:val="clear" w:color="auto" w:fill="FFFFFF"/>
        </w:rPr>
        <w:t>robots</w:t>
      </w:r>
      <w:proofErr w:type="gramEnd"/>
      <w:r w:rsidRPr="00BC3959">
        <w:rPr>
          <w:rFonts w:ascii="Times New Roman" w:hAnsi="Times New Roman"/>
          <w:bCs/>
          <w:color w:val="000000" w:themeColor="text1"/>
          <w:sz w:val="20"/>
          <w:szCs w:val="20"/>
          <w:shd w:val="clear" w:color="auto" w:fill="FFFFFF"/>
        </w:rPr>
        <w:t xml:space="preserve"> manifest personality? An empirical test of personality recognition, social responses, and social presence in human–robot interaction. </w:t>
      </w:r>
      <w:r w:rsidRPr="00BC3959">
        <w:rPr>
          <w:rFonts w:ascii="Times New Roman" w:hAnsi="Times New Roman"/>
          <w:bCs/>
          <w:i/>
          <w:iCs/>
          <w:color w:val="000000" w:themeColor="text1"/>
          <w:sz w:val="20"/>
          <w:szCs w:val="20"/>
          <w:shd w:val="clear" w:color="auto" w:fill="FFFFFF"/>
        </w:rPr>
        <w:t>Journal of Communication</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56</w:t>
      </w:r>
      <w:r w:rsidRPr="00BC3959">
        <w:rPr>
          <w:rFonts w:ascii="Times New Roman" w:hAnsi="Times New Roman"/>
          <w:bCs/>
          <w:color w:val="000000" w:themeColor="text1"/>
          <w:sz w:val="20"/>
          <w:szCs w:val="20"/>
          <w:shd w:val="clear" w:color="auto" w:fill="FFFFFF"/>
        </w:rPr>
        <w:t>(4), 754-772.</w:t>
      </w:r>
    </w:p>
    <w:p w14:paraId="2D9F7AC0"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Luo, L., Koyama, N., Ogawa, K., &amp; Ishiguro, H. (2019). Robotic eyes that express personality. </w:t>
      </w:r>
      <w:r w:rsidRPr="00BC3959">
        <w:rPr>
          <w:rFonts w:ascii="Times New Roman" w:hAnsi="Times New Roman"/>
          <w:bCs/>
          <w:i/>
          <w:iCs/>
          <w:color w:val="000000" w:themeColor="text1"/>
          <w:sz w:val="20"/>
          <w:szCs w:val="20"/>
          <w:shd w:val="clear" w:color="auto" w:fill="FFFFFF"/>
        </w:rPr>
        <w:t>Advanced Robotics</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33</w:t>
      </w:r>
      <w:r w:rsidRPr="00BC3959">
        <w:rPr>
          <w:rFonts w:ascii="Times New Roman" w:hAnsi="Times New Roman"/>
          <w:bCs/>
          <w:color w:val="000000" w:themeColor="text1"/>
          <w:sz w:val="20"/>
          <w:szCs w:val="20"/>
          <w:shd w:val="clear" w:color="auto" w:fill="FFFFFF"/>
        </w:rPr>
        <w:t>(7-8), 350-359.</w:t>
      </w:r>
    </w:p>
    <w:p w14:paraId="5A34E899"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 xml:space="preserve">Nass, C., </w:t>
      </w:r>
      <w:proofErr w:type="spellStart"/>
      <w:r w:rsidRPr="00BC3959">
        <w:rPr>
          <w:rFonts w:ascii="Times New Roman" w:hAnsi="Times New Roman"/>
          <w:bCs/>
          <w:color w:val="000000" w:themeColor="text1"/>
          <w:sz w:val="20"/>
          <w:szCs w:val="20"/>
          <w:shd w:val="clear" w:color="auto" w:fill="FFFFFF"/>
        </w:rPr>
        <w:t>Steuer</w:t>
      </w:r>
      <w:proofErr w:type="spellEnd"/>
      <w:r w:rsidRPr="00BC3959">
        <w:rPr>
          <w:rFonts w:ascii="Times New Roman" w:hAnsi="Times New Roman"/>
          <w:bCs/>
          <w:color w:val="000000" w:themeColor="text1"/>
          <w:sz w:val="20"/>
          <w:szCs w:val="20"/>
          <w:shd w:val="clear" w:color="auto" w:fill="FFFFFF"/>
        </w:rPr>
        <w:t>, J., &amp; Tauber, E. R. (1994). Computers are social actors. In </w:t>
      </w:r>
      <w:r w:rsidRPr="00BC3959">
        <w:rPr>
          <w:rFonts w:ascii="Times New Roman" w:hAnsi="Times New Roman"/>
          <w:bCs/>
          <w:i/>
          <w:iCs/>
          <w:color w:val="000000" w:themeColor="text1"/>
          <w:sz w:val="20"/>
          <w:szCs w:val="20"/>
          <w:shd w:val="clear" w:color="auto" w:fill="FFFFFF"/>
        </w:rPr>
        <w:t>Proceedings of the SIGCHI conference on Human factors in computing systems</w:t>
      </w:r>
      <w:r w:rsidRPr="00BC3959">
        <w:rPr>
          <w:rFonts w:ascii="Times New Roman" w:hAnsi="Times New Roman"/>
          <w:bCs/>
          <w:color w:val="000000" w:themeColor="text1"/>
          <w:sz w:val="20"/>
          <w:szCs w:val="20"/>
          <w:shd w:val="clear" w:color="auto" w:fill="FFFFFF"/>
        </w:rPr>
        <w:t> (pp. 72-78).</w:t>
      </w:r>
    </w:p>
    <w:p w14:paraId="3ACC0F0C" w14:textId="77777777" w:rsidR="00BC3959" w:rsidRPr="00BC3959" w:rsidRDefault="00BC3959" w:rsidP="00BC3959">
      <w:pPr>
        <w:ind w:left="720" w:hanging="720"/>
        <w:rPr>
          <w:rFonts w:ascii="Times New Roman" w:hAnsi="Times New Roman"/>
          <w:color w:val="000000" w:themeColor="text1"/>
          <w:sz w:val="20"/>
          <w:szCs w:val="20"/>
        </w:rPr>
      </w:pPr>
      <w:proofErr w:type="spellStart"/>
      <w:r w:rsidRPr="00BC3959">
        <w:rPr>
          <w:rFonts w:ascii="Times New Roman" w:hAnsi="Times New Roman"/>
          <w:color w:val="000000" w:themeColor="text1"/>
          <w:sz w:val="20"/>
          <w:szCs w:val="20"/>
          <w:shd w:val="clear" w:color="auto" w:fill="FFFFFF"/>
        </w:rPr>
        <w:t>Selfhout</w:t>
      </w:r>
      <w:proofErr w:type="spellEnd"/>
      <w:r w:rsidRPr="00BC3959">
        <w:rPr>
          <w:rFonts w:ascii="Times New Roman" w:hAnsi="Times New Roman"/>
          <w:color w:val="000000" w:themeColor="text1"/>
          <w:sz w:val="20"/>
          <w:szCs w:val="20"/>
          <w:shd w:val="clear" w:color="auto" w:fill="FFFFFF"/>
        </w:rPr>
        <w:t xml:space="preserve">, M., Burk, W., </w:t>
      </w:r>
      <w:proofErr w:type="spellStart"/>
      <w:r w:rsidRPr="00BC3959">
        <w:rPr>
          <w:rFonts w:ascii="Times New Roman" w:hAnsi="Times New Roman"/>
          <w:color w:val="000000" w:themeColor="text1"/>
          <w:sz w:val="20"/>
          <w:szCs w:val="20"/>
          <w:shd w:val="clear" w:color="auto" w:fill="FFFFFF"/>
        </w:rPr>
        <w:t>Branje</w:t>
      </w:r>
      <w:proofErr w:type="spellEnd"/>
      <w:r w:rsidRPr="00BC3959">
        <w:rPr>
          <w:rFonts w:ascii="Times New Roman" w:hAnsi="Times New Roman"/>
          <w:color w:val="000000" w:themeColor="text1"/>
          <w:sz w:val="20"/>
          <w:szCs w:val="20"/>
          <w:shd w:val="clear" w:color="auto" w:fill="FFFFFF"/>
        </w:rPr>
        <w:t xml:space="preserve">, S., </w:t>
      </w:r>
      <w:proofErr w:type="spellStart"/>
      <w:r w:rsidRPr="00BC3959">
        <w:rPr>
          <w:rFonts w:ascii="Times New Roman" w:hAnsi="Times New Roman"/>
          <w:color w:val="000000" w:themeColor="text1"/>
          <w:sz w:val="20"/>
          <w:szCs w:val="20"/>
          <w:shd w:val="clear" w:color="auto" w:fill="FFFFFF"/>
        </w:rPr>
        <w:t>Denissen</w:t>
      </w:r>
      <w:proofErr w:type="spellEnd"/>
      <w:r w:rsidRPr="00BC3959">
        <w:rPr>
          <w:rFonts w:ascii="Times New Roman" w:hAnsi="Times New Roman"/>
          <w:color w:val="000000" w:themeColor="text1"/>
          <w:sz w:val="20"/>
          <w:szCs w:val="20"/>
          <w:shd w:val="clear" w:color="auto" w:fill="FFFFFF"/>
        </w:rPr>
        <w:t xml:space="preserve">, J., Van </w:t>
      </w:r>
      <w:proofErr w:type="spellStart"/>
      <w:r w:rsidRPr="00BC3959">
        <w:rPr>
          <w:rFonts w:ascii="Times New Roman" w:hAnsi="Times New Roman"/>
          <w:color w:val="000000" w:themeColor="text1"/>
          <w:sz w:val="20"/>
          <w:szCs w:val="20"/>
          <w:shd w:val="clear" w:color="auto" w:fill="FFFFFF"/>
        </w:rPr>
        <w:t>Aken</w:t>
      </w:r>
      <w:proofErr w:type="spellEnd"/>
      <w:r w:rsidRPr="00BC3959">
        <w:rPr>
          <w:rFonts w:ascii="Times New Roman" w:hAnsi="Times New Roman"/>
          <w:color w:val="000000" w:themeColor="text1"/>
          <w:sz w:val="20"/>
          <w:szCs w:val="20"/>
          <w:shd w:val="clear" w:color="auto" w:fill="FFFFFF"/>
        </w:rPr>
        <w:t xml:space="preserve">, M., &amp; </w:t>
      </w:r>
      <w:proofErr w:type="spellStart"/>
      <w:r w:rsidRPr="00BC3959">
        <w:rPr>
          <w:rFonts w:ascii="Times New Roman" w:hAnsi="Times New Roman"/>
          <w:color w:val="000000" w:themeColor="text1"/>
          <w:sz w:val="20"/>
          <w:szCs w:val="20"/>
          <w:shd w:val="clear" w:color="auto" w:fill="FFFFFF"/>
        </w:rPr>
        <w:t>Meeus</w:t>
      </w:r>
      <w:proofErr w:type="spellEnd"/>
      <w:r w:rsidRPr="00BC3959">
        <w:rPr>
          <w:rFonts w:ascii="Times New Roman" w:hAnsi="Times New Roman"/>
          <w:color w:val="000000" w:themeColor="text1"/>
          <w:sz w:val="20"/>
          <w:szCs w:val="20"/>
          <w:shd w:val="clear" w:color="auto" w:fill="FFFFFF"/>
        </w:rPr>
        <w:t>, W. (2010). Emerging late adolescent friendship networks and big five personality traits: A social network approach. </w:t>
      </w:r>
      <w:r w:rsidRPr="00BC3959">
        <w:rPr>
          <w:rFonts w:ascii="Times New Roman" w:hAnsi="Times New Roman"/>
          <w:i/>
          <w:iCs/>
          <w:color w:val="000000" w:themeColor="text1"/>
          <w:sz w:val="20"/>
          <w:szCs w:val="20"/>
          <w:shd w:val="clear" w:color="auto" w:fill="FFFFFF"/>
        </w:rPr>
        <w:t>Journal of Personality</w:t>
      </w:r>
      <w:r w:rsidRPr="00BC3959">
        <w:rPr>
          <w:rFonts w:ascii="Times New Roman" w:hAnsi="Times New Roman"/>
          <w:color w:val="000000" w:themeColor="text1"/>
          <w:sz w:val="20"/>
          <w:szCs w:val="20"/>
          <w:shd w:val="clear" w:color="auto" w:fill="FFFFFF"/>
        </w:rPr>
        <w:t>, </w:t>
      </w:r>
      <w:r w:rsidRPr="00BC3959">
        <w:rPr>
          <w:rFonts w:ascii="Times New Roman" w:hAnsi="Times New Roman"/>
          <w:i/>
          <w:iCs/>
          <w:color w:val="000000" w:themeColor="text1"/>
          <w:sz w:val="20"/>
          <w:szCs w:val="20"/>
          <w:shd w:val="clear" w:color="auto" w:fill="FFFFFF"/>
        </w:rPr>
        <w:t>78</w:t>
      </w:r>
      <w:r w:rsidRPr="00BC3959">
        <w:rPr>
          <w:rFonts w:ascii="Times New Roman" w:hAnsi="Times New Roman"/>
          <w:color w:val="000000" w:themeColor="text1"/>
          <w:sz w:val="20"/>
          <w:szCs w:val="20"/>
          <w:shd w:val="clear" w:color="auto" w:fill="FFFFFF"/>
        </w:rPr>
        <w:t>(2), 509-538.</w:t>
      </w:r>
    </w:p>
    <w:p w14:paraId="416A148E"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Shin, D. H., &amp; Choo, H. (2011). Modeling the acceptance of socially interactive robotics: Social presence in human–robot interaction. </w:t>
      </w:r>
      <w:r w:rsidRPr="00BC3959">
        <w:rPr>
          <w:rFonts w:ascii="Times New Roman" w:hAnsi="Times New Roman"/>
          <w:bCs/>
          <w:i/>
          <w:iCs/>
          <w:color w:val="000000" w:themeColor="text1"/>
          <w:sz w:val="20"/>
          <w:szCs w:val="20"/>
          <w:shd w:val="clear" w:color="auto" w:fill="FFFFFF"/>
        </w:rPr>
        <w:t>Interaction Studies</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12</w:t>
      </w:r>
      <w:r w:rsidRPr="00BC3959">
        <w:rPr>
          <w:rFonts w:ascii="Times New Roman" w:hAnsi="Times New Roman"/>
          <w:bCs/>
          <w:color w:val="000000" w:themeColor="text1"/>
          <w:sz w:val="20"/>
          <w:szCs w:val="20"/>
          <w:shd w:val="clear" w:color="auto" w:fill="FFFFFF"/>
        </w:rPr>
        <w:t>(3), 430-460.</w:t>
      </w:r>
    </w:p>
    <w:p w14:paraId="1DA35338"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 xml:space="preserve">Trope, Y., Liberman, N., &amp; </w:t>
      </w:r>
      <w:proofErr w:type="spellStart"/>
      <w:r w:rsidRPr="00BC3959">
        <w:rPr>
          <w:rFonts w:ascii="Times New Roman" w:hAnsi="Times New Roman"/>
          <w:bCs/>
          <w:color w:val="000000" w:themeColor="text1"/>
          <w:sz w:val="20"/>
          <w:szCs w:val="20"/>
          <w:shd w:val="clear" w:color="auto" w:fill="FFFFFF"/>
        </w:rPr>
        <w:t>Wakslak</w:t>
      </w:r>
      <w:proofErr w:type="spellEnd"/>
      <w:r w:rsidRPr="00BC3959">
        <w:rPr>
          <w:rFonts w:ascii="Times New Roman" w:hAnsi="Times New Roman"/>
          <w:bCs/>
          <w:color w:val="000000" w:themeColor="text1"/>
          <w:sz w:val="20"/>
          <w:szCs w:val="20"/>
          <w:shd w:val="clear" w:color="auto" w:fill="FFFFFF"/>
        </w:rPr>
        <w:t>, C. (2007). Construal levels and psychological distance: Effects on representation, prediction, evaluation, and behavior. </w:t>
      </w:r>
      <w:r w:rsidRPr="00BC3959">
        <w:rPr>
          <w:rFonts w:ascii="Times New Roman" w:hAnsi="Times New Roman"/>
          <w:bCs/>
          <w:i/>
          <w:iCs/>
          <w:color w:val="000000" w:themeColor="text1"/>
          <w:sz w:val="20"/>
          <w:szCs w:val="20"/>
          <w:shd w:val="clear" w:color="auto" w:fill="FFFFFF"/>
        </w:rPr>
        <w:t>Journal of Consumer Psychology</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17</w:t>
      </w:r>
      <w:r w:rsidRPr="00BC3959">
        <w:rPr>
          <w:rFonts w:ascii="Times New Roman" w:hAnsi="Times New Roman"/>
          <w:bCs/>
          <w:color w:val="000000" w:themeColor="text1"/>
          <w:sz w:val="20"/>
          <w:szCs w:val="20"/>
          <w:shd w:val="clear" w:color="auto" w:fill="FFFFFF"/>
        </w:rPr>
        <w:t>(2), 83-95.</w:t>
      </w:r>
    </w:p>
    <w:p w14:paraId="1DBC57B3" w14:textId="77777777" w:rsidR="00BC3959" w:rsidRPr="00BC3959" w:rsidRDefault="00BC3959" w:rsidP="00BC3959">
      <w:pPr>
        <w:ind w:left="720" w:hanging="720"/>
        <w:rPr>
          <w:rFonts w:ascii="Times New Roman" w:hAnsi="Times New Roman"/>
          <w:bCs/>
          <w:color w:val="000000" w:themeColor="text1"/>
          <w:sz w:val="20"/>
          <w:szCs w:val="20"/>
        </w:rPr>
      </w:pPr>
      <w:r w:rsidRPr="00BC3959">
        <w:rPr>
          <w:rFonts w:ascii="Times New Roman" w:hAnsi="Times New Roman"/>
          <w:bCs/>
          <w:color w:val="000000" w:themeColor="text1"/>
          <w:sz w:val="20"/>
          <w:szCs w:val="20"/>
          <w:shd w:val="clear" w:color="auto" w:fill="FFFFFF"/>
        </w:rPr>
        <w:t xml:space="preserve">van </w:t>
      </w:r>
      <w:proofErr w:type="spellStart"/>
      <w:r w:rsidRPr="00BC3959">
        <w:rPr>
          <w:rFonts w:ascii="Times New Roman" w:hAnsi="Times New Roman"/>
          <w:bCs/>
          <w:color w:val="000000" w:themeColor="text1"/>
          <w:sz w:val="20"/>
          <w:szCs w:val="20"/>
          <w:shd w:val="clear" w:color="auto" w:fill="FFFFFF"/>
        </w:rPr>
        <w:t>Zalk</w:t>
      </w:r>
      <w:proofErr w:type="spellEnd"/>
      <w:r w:rsidRPr="00BC3959">
        <w:rPr>
          <w:rFonts w:ascii="Times New Roman" w:hAnsi="Times New Roman"/>
          <w:bCs/>
          <w:color w:val="000000" w:themeColor="text1"/>
          <w:sz w:val="20"/>
          <w:szCs w:val="20"/>
          <w:shd w:val="clear" w:color="auto" w:fill="FFFFFF"/>
        </w:rPr>
        <w:t xml:space="preserve">, M., &amp; </w:t>
      </w:r>
      <w:proofErr w:type="spellStart"/>
      <w:r w:rsidRPr="00BC3959">
        <w:rPr>
          <w:rFonts w:ascii="Times New Roman" w:hAnsi="Times New Roman"/>
          <w:bCs/>
          <w:color w:val="000000" w:themeColor="text1"/>
          <w:sz w:val="20"/>
          <w:szCs w:val="20"/>
          <w:shd w:val="clear" w:color="auto" w:fill="FFFFFF"/>
        </w:rPr>
        <w:t>Denissen</w:t>
      </w:r>
      <w:proofErr w:type="spellEnd"/>
      <w:r w:rsidRPr="00BC3959">
        <w:rPr>
          <w:rFonts w:ascii="Times New Roman" w:hAnsi="Times New Roman"/>
          <w:bCs/>
          <w:color w:val="000000" w:themeColor="text1"/>
          <w:sz w:val="20"/>
          <w:szCs w:val="20"/>
          <w:shd w:val="clear" w:color="auto" w:fill="FFFFFF"/>
        </w:rPr>
        <w:t xml:space="preserve">, J. (2015). Idiosyncratic versus social consensus approaches to personality: Self-view, perceived, and </w:t>
      </w:r>
      <w:proofErr w:type="spellStart"/>
      <w:r w:rsidRPr="00BC3959">
        <w:rPr>
          <w:rFonts w:ascii="Times New Roman" w:hAnsi="Times New Roman"/>
          <w:bCs/>
          <w:color w:val="000000" w:themeColor="text1"/>
          <w:sz w:val="20"/>
          <w:szCs w:val="20"/>
          <w:shd w:val="clear" w:color="auto" w:fill="FFFFFF"/>
        </w:rPr>
        <w:t>peer</w:t>
      </w:r>
      <w:proofErr w:type="spellEnd"/>
      <w:r w:rsidRPr="00BC3959">
        <w:rPr>
          <w:rFonts w:ascii="Times New Roman" w:hAnsi="Times New Roman"/>
          <w:bCs/>
          <w:color w:val="000000" w:themeColor="text1"/>
          <w:sz w:val="20"/>
          <w:szCs w:val="20"/>
          <w:shd w:val="clear" w:color="auto" w:fill="FFFFFF"/>
        </w:rPr>
        <w:t>-view similarity. </w:t>
      </w:r>
      <w:r w:rsidRPr="00BC3959">
        <w:rPr>
          <w:rFonts w:ascii="Times New Roman" w:hAnsi="Times New Roman"/>
          <w:bCs/>
          <w:i/>
          <w:iCs/>
          <w:color w:val="000000" w:themeColor="text1"/>
          <w:sz w:val="20"/>
          <w:szCs w:val="20"/>
          <w:shd w:val="clear" w:color="auto" w:fill="FFFFFF"/>
        </w:rPr>
        <w:t>Journal of Personality and Social Psychology</w:t>
      </w:r>
      <w:r w:rsidRPr="00BC3959">
        <w:rPr>
          <w:rFonts w:ascii="Times New Roman" w:hAnsi="Times New Roman"/>
          <w:bCs/>
          <w:color w:val="000000" w:themeColor="text1"/>
          <w:sz w:val="20"/>
          <w:szCs w:val="20"/>
          <w:shd w:val="clear" w:color="auto" w:fill="FFFFFF"/>
        </w:rPr>
        <w:t>, </w:t>
      </w:r>
      <w:r w:rsidRPr="00BC3959">
        <w:rPr>
          <w:rFonts w:ascii="Times New Roman" w:hAnsi="Times New Roman"/>
          <w:bCs/>
          <w:i/>
          <w:iCs/>
          <w:color w:val="000000" w:themeColor="text1"/>
          <w:sz w:val="20"/>
          <w:szCs w:val="20"/>
          <w:shd w:val="clear" w:color="auto" w:fill="FFFFFF"/>
        </w:rPr>
        <w:t>109</w:t>
      </w:r>
      <w:r w:rsidRPr="00BC3959">
        <w:rPr>
          <w:rFonts w:ascii="Times New Roman" w:hAnsi="Times New Roman"/>
          <w:bCs/>
          <w:color w:val="000000" w:themeColor="text1"/>
          <w:sz w:val="20"/>
          <w:szCs w:val="20"/>
          <w:shd w:val="clear" w:color="auto" w:fill="FFFFFF"/>
        </w:rPr>
        <w:t>(1), 121-141.</w:t>
      </w:r>
    </w:p>
    <w:p w14:paraId="1AB4B6D9" w14:textId="4950CEF5" w:rsidR="00805229" w:rsidRPr="00EE0909" w:rsidRDefault="00BC3959" w:rsidP="00EE0909">
      <w:pPr>
        <w:ind w:left="720" w:hanging="720"/>
        <w:rPr>
          <w:rFonts w:ascii="Times New Roman" w:hAnsi="Times New Roman"/>
          <w:bCs/>
          <w:color w:val="000000" w:themeColor="text1"/>
          <w:sz w:val="20"/>
          <w:szCs w:val="20"/>
          <w:shd w:val="clear" w:color="auto" w:fill="FFFFFF"/>
        </w:rPr>
      </w:pPr>
      <w:r w:rsidRPr="00BC3959">
        <w:rPr>
          <w:rFonts w:ascii="Times New Roman" w:hAnsi="Times New Roman"/>
          <w:color w:val="222222"/>
          <w:sz w:val="20"/>
          <w:szCs w:val="20"/>
          <w:shd w:val="clear" w:color="auto" w:fill="FFFFFF"/>
        </w:rPr>
        <w:t xml:space="preserve">Zhou, L., Gao, J., Li, D., &amp; Shum, H. Y. (2020). The design and implementation of </w:t>
      </w:r>
      <w:proofErr w:type="spellStart"/>
      <w:r w:rsidRPr="00BC3959">
        <w:rPr>
          <w:rFonts w:ascii="Times New Roman" w:hAnsi="Times New Roman"/>
          <w:color w:val="222222"/>
          <w:sz w:val="20"/>
          <w:szCs w:val="20"/>
          <w:shd w:val="clear" w:color="auto" w:fill="FFFFFF"/>
        </w:rPr>
        <w:t>Xiaoice</w:t>
      </w:r>
      <w:proofErr w:type="spellEnd"/>
      <w:r w:rsidRPr="00BC3959">
        <w:rPr>
          <w:rFonts w:ascii="Times New Roman" w:hAnsi="Times New Roman"/>
          <w:color w:val="222222"/>
          <w:sz w:val="20"/>
          <w:szCs w:val="20"/>
          <w:shd w:val="clear" w:color="auto" w:fill="FFFFFF"/>
        </w:rPr>
        <w:t>, an empathetic social chatbot. </w:t>
      </w:r>
      <w:r w:rsidRPr="00BC3959">
        <w:rPr>
          <w:rFonts w:ascii="Times New Roman" w:hAnsi="Times New Roman"/>
          <w:i/>
          <w:iCs/>
          <w:color w:val="222222"/>
          <w:sz w:val="20"/>
          <w:szCs w:val="20"/>
          <w:shd w:val="clear" w:color="auto" w:fill="FFFFFF"/>
        </w:rPr>
        <w:t>Computational Linguistics</w:t>
      </w:r>
      <w:r w:rsidRPr="00BC3959">
        <w:rPr>
          <w:rFonts w:ascii="Times New Roman" w:hAnsi="Times New Roman"/>
          <w:color w:val="222222"/>
          <w:sz w:val="20"/>
          <w:szCs w:val="20"/>
          <w:shd w:val="clear" w:color="auto" w:fill="FFFFFF"/>
        </w:rPr>
        <w:t>, </w:t>
      </w:r>
      <w:r w:rsidRPr="00BC3959">
        <w:rPr>
          <w:rFonts w:ascii="Times New Roman" w:hAnsi="Times New Roman"/>
          <w:i/>
          <w:iCs/>
          <w:color w:val="222222"/>
          <w:sz w:val="20"/>
          <w:szCs w:val="20"/>
          <w:shd w:val="clear" w:color="auto" w:fill="FFFFFF"/>
        </w:rPr>
        <w:t>46</w:t>
      </w:r>
      <w:r w:rsidRPr="00BC3959">
        <w:rPr>
          <w:rFonts w:ascii="Times New Roman" w:hAnsi="Times New Roman"/>
          <w:color w:val="222222"/>
          <w:sz w:val="20"/>
          <w:szCs w:val="20"/>
          <w:shd w:val="clear" w:color="auto" w:fill="FFFFFF"/>
        </w:rPr>
        <w:t>(1), 53-93.</w:t>
      </w:r>
    </w:p>
    <w:sectPr w:rsidR="00805229" w:rsidRPr="00EE0909"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BAF41" w14:textId="77777777" w:rsidR="00A979EA" w:rsidRDefault="00A979EA" w:rsidP="00AF5871">
      <w:pPr>
        <w:spacing w:after="0" w:line="240" w:lineRule="auto"/>
      </w:pPr>
      <w:r>
        <w:separator/>
      </w:r>
    </w:p>
  </w:endnote>
  <w:endnote w:type="continuationSeparator" w:id="0">
    <w:p w14:paraId="4238D319" w14:textId="77777777" w:rsidR="00A979EA" w:rsidRDefault="00A979EA"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9DF6" w14:textId="77777777" w:rsidR="00A979EA" w:rsidRDefault="00A979EA" w:rsidP="00AF5871">
      <w:pPr>
        <w:spacing w:after="0" w:line="240" w:lineRule="auto"/>
      </w:pPr>
      <w:r>
        <w:separator/>
      </w:r>
    </w:p>
  </w:footnote>
  <w:footnote w:type="continuationSeparator" w:id="0">
    <w:p w14:paraId="72C1FC33" w14:textId="77777777" w:rsidR="00A979EA" w:rsidRDefault="00A979EA"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CygQ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bAgQIAABU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A33"/>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5B62"/>
    <w:rsid w:val="001769CC"/>
    <w:rsid w:val="00177EDF"/>
    <w:rsid w:val="00180A09"/>
    <w:rsid w:val="00184584"/>
    <w:rsid w:val="0018742F"/>
    <w:rsid w:val="00187519"/>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1F0F"/>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337DD"/>
    <w:rsid w:val="00543472"/>
    <w:rsid w:val="00544D37"/>
    <w:rsid w:val="005461A1"/>
    <w:rsid w:val="00556B08"/>
    <w:rsid w:val="00557316"/>
    <w:rsid w:val="005618D9"/>
    <w:rsid w:val="00563E40"/>
    <w:rsid w:val="00565137"/>
    <w:rsid w:val="005658F9"/>
    <w:rsid w:val="00572FF2"/>
    <w:rsid w:val="0057385C"/>
    <w:rsid w:val="00573D8C"/>
    <w:rsid w:val="00575750"/>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3258"/>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49DD"/>
    <w:rsid w:val="0071547B"/>
    <w:rsid w:val="00715B21"/>
    <w:rsid w:val="00725E18"/>
    <w:rsid w:val="007273CB"/>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5B1D"/>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762"/>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85C"/>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979EA"/>
    <w:rsid w:val="00AA0424"/>
    <w:rsid w:val="00AA4383"/>
    <w:rsid w:val="00AA60CE"/>
    <w:rsid w:val="00AA70A2"/>
    <w:rsid w:val="00AB51C7"/>
    <w:rsid w:val="00AC0A57"/>
    <w:rsid w:val="00AC0E9E"/>
    <w:rsid w:val="00AC3718"/>
    <w:rsid w:val="00AC3ED1"/>
    <w:rsid w:val="00AD0877"/>
    <w:rsid w:val="00AD6217"/>
    <w:rsid w:val="00AD7E84"/>
    <w:rsid w:val="00AE0753"/>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14FD"/>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3959"/>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12FA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1D97"/>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2A0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0909"/>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4D54"/>
    <w:rsid w:val="00F65EF8"/>
    <w:rsid w:val="00F67960"/>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563E-B84E-4D45-8C73-B304C047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9819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Chakraborty, Swagata</cp:lastModifiedBy>
  <cp:revision>8</cp:revision>
  <cp:lastPrinted>2010-03-03T19:14:00Z</cp:lastPrinted>
  <dcterms:created xsi:type="dcterms:W3CDTF">2021-11-15T18:33:00Z</dcterms:created>
  <dcterms:modified xsi:type="dcterms:W3CDTF">2021-11-15T19:33:00Z</dcterms:modified>
</cp:coreProperties>
</file>