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5195" w14:textId="77777777" w:rsidR="00AE033F" w:rsidRPr="00B86BDB" w:rsidRDefault="00AE033F" w:rsidP="00AE033F">
      <w:pPr>
        <w:spacing w:after="0" w:line="240" w:lineRule="auto"/>
        <w:jc w:val="center"/>
        <w:rPr>
          <w:rFonts w:ascii="Times New Roman" w:hAnsi="Times New Roman"/>
          <w:b/>
          <w:bCs/>
          <w:sz w:val="24"/>
          <w:szCs w:val="24"/>
        </w:rPr>
      </w:pPr>
      <w:r w:rsidRPr="00B86BDB">
        <w:rPr>
          <w:rFonts w:ascii="Times New Roman" w:hAnsi="Times New Roman"/>
          <w:b/>
          <w:bCs/>
          <w:sz w:val="24"/>
          <w:szCs w:val="24"/>
        </w:rPr>
        <w:t>Channel Service Integration, Customer Experience, and Trust in Online Shopping in the Eye of Beauty Customers</w:t>
      </w:r>
    </w:p>
    <w:p w14:paraId="39C1A53C" w14:textId="4AC915DF" w:rsidR="00AE033F" w:rsidRDefault="00AE033F" w:rsidP="00AE033F">
      <w:pPr>
        <w:spacing w:after="0" w:line="240" w:lineRule="auto"/>
        <w:jc w:val="center"/>
        <w:rPr>
          <w:rFonts w:ascii="Times New Roman" w:hAnsi="Times New Roman"/>
          <w:sz w:val="24"/>
          <w:szCs w:val="24"/>
        </w:rPr>
      </w:pPr>
    </w:p>
    <w:p w14:paraId="3381AAD2" w14:textId="77777777" w:rsidR="00DB59C9" w:rsidRDefault="00DB59C9" w:rsidP="00DB59C9">
      <w:pPr>
        <w:spacing w:after="0" w:line="240" w:lineRule="auto"/>
        <w:jc w:val="center"/>
        <w:rPr>
          <w:rFonts w:ascii="Times New Roman" w:hAnsi="Times New Roman"/>
          <w:sz w:val="24"/>
          <w:szCs w:val="24"/>
        </w:rPr>
      </w:pPr>
      <w:r>
        <w:rPr>
          <w:rFonts w:ascii="Times New Roman" w:hAnsi="Times New Roman"/>
          <w:sz w:val="24"/>
          <w:szCs w:val="24"/>
        </w:rPr>
        <w:t>Caroline Kopot, University of Missouri</w:t>
      </w:r>
    </w:p>
    <w:p w14:paraId="1F58FA29" w14:textId="68551F2B" w:rsidR="00DB59C9" w:rsidRDefault="00FD1D82" w:rsidP="00AE033F">
      <w:pPr>
        <w:spacing w:after="0" w:line="240" w:lineRule="auto"/>
        <w:jc w:val="center"/>
        <w:rPr>
          <w:rFonts w:ascii="Times New Roman" w:hAnsi="Times New Roman"/>
          <w:sz w:val="24"/>
          <w:szCs w:val="24"/>
        </w:rPr>
      </w:pPr>
      <w:r>
        <w:rPr>
          <w:rFonts w:ascii="Times New Roman" w:hAnsi="Times New Roman"/>
          <w:sz w:val="24"/>
          <w:szCs w:val="24"/>
        </w:rPr>
        <w:t>Cydni Robertson, University of Missouri</w:t>
      </w:r>
    </w:p>
    <w:p w14:paraId="24999894" w14:textId="337F2515" w:rsidR="00B86BDB" w:rsidRDefault="00B86BDB" w:rsidP="00AE033F">
      <w:pPr>
        <w:spacing w:after="0" w:line="240" w:lineRule="auto"/>
        <w:jc w:val="center"/>
        <w:rPr>
          <w:rFonts w:ascii="Times New Roman" w:hAnsi="Times New Roman"/>
          <w:sz w:val="24"/>
          <w:szCs w:val="24"/>
        </w:rPr>
      </w:pPr>
    </w:p>
    <w:p w14:paraId="2FBE5CC3" w14:textId="731FBB8E" w:rsidR="00B86BDB" w:rsidRPr="00B86BDB" w:rsidRDefault="00B86BDB" w:rsidP="00AE033F">
      <w:pPr>
        <w:spacing w:after="0" w:line="240" w:lineRule="auto"/>
        <w:jc w:val="center"/>
        <w:rPr>
          <w:rFonts w:ascii="Times New Roman" w:hAnsi="Times New Roman"/>
          <w:sz w:val="24"/>
          <w:szCs w:val="24"/>
        </w:rPr>
      </w:pPr>
      <w:r w:rsidRPr="00A27A72">
        <w:rPr>
          <w:rFonts w:ascii="Times New Roman" w:hAnsi="Times New Roman"/>
          <w:i/>
          <w:iCs/>
          <w:sz w:val="24"/>
          <w:szCs w:val="24"/>
        </w:rPr>
        <w:t>Keywords:</w:t>
      </w:r>
      <w:r>
        <w:rPr>
          <w:rFonts w:ascii="Times New Roman" w:hAnsi="Times New Roman"/>
          <w:i/>
          <w:iCs/>
          <w:sz w:val="24"/>
          <w:szCs w:val="24"/>
        </w:rPr>
        <w:t xml:space="preserve"> </w:t>
      </w:r>
      <w:r w:rsidRPr="00B86BDB">
        <w:rPr>
          <w:rFonts w:ascii="Times New Roman" w:hAnsi="Times New Roman"/>
          <w:sz w:val="24"/>
          <w:szCs w:val="24"/>
        </w:rPr>
        <w:t>Channel Service Integration, Customer Experience,</w:t>
      </w:r>
      <w:r>
        <w:rPr>
          <w:rFonts w:ascii="Times New Roman" w:hAnsi="Times New Roman"/>
          <w:sz w:val="24"/>
          <w:szCs w:val="24"/>
        </w:rPr>
        <w:t xml:space="preserve"> </w:t>
      </w:r>
      <w:r w:rsidRPr="00B86BDB">
        <w:rPr>
          <w:rFonts w:ascii="Times New Roman" w:hAnsi="Times New Roman"/>
          <w:sz w:val="24"/>
          <w:szCs w:val="24"/>
        </w:rPr>
        <w:t>Trust</w:t>
      </w:r>
      <w:r>
        <w:rPr>
          <w:rFonts w:ascii="Times New Roman" w:hAnsi="Times New Roman"/>
          <w:sz w:val="24"/>
          <w:szCs w:val="24"/>
        </w:rPr>
        <w:t xml:space="preserve">, </w:t>
      </w:r>
      <w:r w:rsidR="00224820">
        <w:rPr>
          <w:rFonts w:ascii="Times New Roman" w:hAnsi="Times New Roman"/>
          <w:sz w:val="24"/>
          <w:szCs w:val="24"/>
        </w:rPr>
        <w:t>Beauty Retailers</w:t>
      </w:r>
      <w:r w:rsidR="00BF6AFA">
        <w:rPr>
          <w:rFonts w:ascii="Times New Roman" w:hAnsi="Times New Roman"/>
          <w:sz w:val="24"/>
          <w:szCs w:val="24"/>
        </w:rPr>
        <w:t>, and Omnichannel</w:t>
      </w:r>
    </w:p>
    <w:p w14:paraId="3C41FE64" w14:textId="77777777" w:rsidR="00DB59C9" w:rsidRPr="00E76122" w:rsidRDefault="00DB59C9" w:rsidP="00AE033F">
      <w:pPr>
        <w:spacing w:after="0" w:line="240" w:lineRule="auto"/>
        <w:jc w:val="center"/>
        <w:rPr>
          <w:rFonts w:ascii="Times New Roman" w:hAnsi="Times New Roman"/>
          <w:sz w:val="24"/>
          <w:szCs w:val="24"/>
        </w:rPr>
      </w:pPr>
    </w:p>
    <w:p w14:paraId="54ECBC0C" w14:textId="77777777" w:rsidR="00AE033F" w:rsidRPr="00AE033F" w:rsidRDefault="00AE033F" w:rsidP="00FD1D82">
      <w:pPr>
        <w:spacing w:after="0" w:line="240" w:lineRule="auto"/>
        <w:jc w:val="center"/>
        <w:rPr>
          <w:rFonts w:ascii="Times New Roman" w:hAnsi="Times New Roman"/>
          <w:b/>
          <w:bCs/>
          <w:sz w:val="24"/>
          <w:szCs w:val="24"/>
        </w:rPr>
      </w:pPr>
      <w:r w:rsidRPr="00AE033F">
        <w:rPr>
          <w:rFonts w:ascii="Times New Roman" w:hAnsi="Times New Roman"/>
          <w:b/>
          <w:bCs/>
          <w:sz w:val="24"/>
          <w:szCs w:val="24"/>
        </w:rPr>
        <w:t>Introduction</w:t>
      </w:r>
    </w:p>
    <w:p w14:paraId="18F6FC9E" w14:textId="776EB492" w:rsidR="00AE033F" w:rsidRPr="00E76122" w:rsidRDefault="00AE033F" w:rsidP="00FD1D82">
      <w:pPr>
        <w:spacing w:after="0" w:line="240" w:lineRule="auto"/>
        <w:ind w:firstLine="720"/>
        <w:rPr>
          <w:rFonts w:ascii="Times New Roman" w:eastAsia="Times New Roman" w:hAnsi="Times New Roman"/>
          <w:color w:val="000000"/>
          <w:sz w:val="24"/>
          <w:szCs w:val="24"/>
        </w:rPr>
      </w:pPr>
      <w:r w:rsidRPr="00E76122">
        <w:rPr>
          <w:rFonts w:ascii="Times New Roman" w:eastAsia="Times New Roman" w:hAnsi="Times New Roman"/>
          <w:color w:val="000000"/>
          <w:sz w:val="24"/>
          <w:szCs w:val="24"/>
        </w:rPr>
        <w:t>Production and marketing within the beauty industry were forced to pivot as the Covid-19 pandemic drastically altered consumption in 2020 (</w:t>
      </w:r>
      <w:proofErr w:type="spellStart"/>
      <w:r w:rsidRPr="00E76122">
        <w:rPr>
          <w:rFonts w:ascii="Times New Roman" w:eastAsia="Times New Roman" w:hAnsi="Times New Roman"/>
          <w:color w:val="000000"/>
          <w:sz w:val="24"/>
          <w:szCs w:val="24"/>
        </w:rPr>
        <w:t>Gerstell</w:t>
      </w:r>
      <w:proofErr w:type="spellEnd"/>
      <w:r w:rsidRPr="00E76122">
        <w:rPr>
          <w:rFonts w:ascii="Times New Roman" w:eastAsia="Times New Roman" w:hAnsi="Times New Roman"/>
          <w:color w:val="000000"/>
          <w:sz w:val="24"/>
          <w:szCs w:val="24"/>
        </w:rPr>
        <w:t xml:space="preserve"> et al., 2020). As beauty businesses reduced in-person capacity and some closed completely during the pandemic, research shows that not having immediate access to beauty products impacted the psychological well-being of consumers </w:t>
      </w:r>
      <w:r w:rsidRPr="00E76122">
        <w:rPr>
          <w:rFonts w:ascii="Times New Roman" w:eastAsia="Times New Roman" w:hAnsi="Times New Roman"/>
          <w:color w:val="000000"/>
          <w:sz w:val="24"/>
          <w:szCs w:val="24"/>
        </w:rPr>
        <w:fldChar w:fldCharType="begin" w:fldLock="1"/>
      </w:r>
      <w:r w:rsidRPr="00E76122">
        <w:rPr>
          <w:rFonts w:ascii="Times New Roman" w:eastAsia="Times New Roman" w:hAnsi="Times New Roman"/>
          <w:color w:val="000000"/>
          <w:sz w:val="24"/>
          <w:szCs w:val="24"/>
        </w:rPr>
        <w:instrText>ADDIN CSL_CITATION {"citationItems":[{"id":"ITEM-1","itemData":{"DOI":"https://doi.org/10.1002/eat.23385","ISSN":"0276-3478","abstract":"Abstract Objective During the COVID-19 pandemic, Australia implemented widespread closure of beauty and cosmetic services to control the virus spread. The effect of these restrictions is unknown, given that beauty services are widely used for stress relief or to enhance confidence. The current study explored the relationship between engagement in appearance-focused behaviors and distress regarding beauty service closure. Participants with high and low levels of dysmorphic concern were compared to determine whether COVID-19 restrictions may affect these groups differently. Method An online survey was completed by 216 participants living in Australia. Questions addressed engagement in appearance-focused behaviors during the COVID-19 pandemic and attitudes toward beauty service closure. The Dysmorphic Concern Questionnaire (DCQ) was used to group participants by low and high dysmorphic concern. Results Appearance-focused behaviors decreased in the low DCQ group (n = 163) during the COVID-19 pandemic, while such behaviors in the high DCQ group (n = 53) remained unchanged. Individuals who were living alone, younger, reported higher dysmorphic concern and greater distress over beauty service closure engaged in more frequent appearance-focused behaviors (R2 = .57, p?&lt;?.001). The high DCQ group reported greater distress over beauty service closure and increased desire to obtain future beauty treatments. Discussion While COVID-19 restrictions may have provided a break from societal appearance pressure for those with low dysmorphic concern, appearance-focused behaviors persisted in individuals with high dysmorphic concern. A greater understanding of the long-term impacts on appearance-related distress is needed to determine mental health priorities emerging from the COVID-19 pandemic.","author":[{"dropping-particle":"","family":"Pikoos","given":"Toni D","non-dropping-particle":"","parse-names":false,"suffix":""},{"dropping-particle":"","family":"Buzwell","given":"Simone","non-dropping-particle":"","parse-names":false,"suffix":""},{"dropping-particle":"","family":"Sharp","given":"Gemma","non-dropping-particle":"","parse-names":false,"suffix":""},{"dropping-particle":"","family":"Rossell","given":"Susan L","non-dropping-particle":"","parse-names":false,"suffix":""}],"container-title":"International Journal of Eating Disorders","id":"ITEM-1","issue":"12","issued":{"date-parts":[["2020","12","1"]]},"note":"https://doi.org/10.1002/eat.23385","page":"1993-2002","publisher":"John Wiley &amp; Sons, Ltd","title":"The COVID-19 pandemic: Psychological and behavioral responses to the shutdown of the beauty industry","type":"article-journal","volume":"53"},"uris":["http://www.mendeley.com/documents/?uuid=426ea753-798c-4cbf-93d4-dc99fccc245d"]}],"mendeley":{"formattedCitation":"(Pikoos et al., 2020)","plainTextFormattedCitation":"(Pikoos et al., 2020)","previouslyFormattedCitation":"(Pikoos et al., 2020)"},"properties":{"noteIndex":0},"schema":"https://github.com/citation-style-language/schema/raw/master/csl-citation.json"}</w:instrText>
      </w:r>
      <w:r w:rsidRPr="00E76122">
        <w:rPr>
          <w:rFonts w:ascii="Times New Roman" w:eastAsia="Times New Roman" w:hAnsi="Times New Roman"/>
          <w:color w:val="000000"/>
          <w:sz w:val="24"/>
          <w:szCs w:val="24"/>
        </w:rPr>
        <w:fldChar w:fldCharType="separate"/>
      </w:r>
      <w:r w:rsidRPr="00E76122">
        <w:rPr>
          <w:rFonts w:ascii="Times New Roman" w:eastAsia="Times New Roman" w:hAnsi="Times New Roman"/>
          <w:noProof/>
          <w:color w:val="000000"/>
          <w:sz w:val="24"/>
          <w:szCs w:val="24"/>
        </w:rPr>
        <w:t>(Pikoos et al., 2020)</w:t>
      </w:r>
      <w:r w:rsidRPr="00E76122">
        <w:rPr>
          <w:rFonts w:ascii="Times New Roman" w:eastAsia="Times New Roman" w:hAnsi="Times New Roman"/>
          <w:color w:val="000000"/>
          <w:sz w:val="24"/>
          <w:szCs w:val="24"/>
        </w:rPr>
        <w:fldChar w:fldCharType="end"/>
      </w:r>
      <w:r w:rsidRPr="00E76122">
        <w:rPr>
          <w:rFonts w:ascii="Times New Roman" w:eastAsia="Times New Roman" w:hAnsi="Times New Roman"/>
          <w:color w:val="000000"/>
          <w:sz w:val="24"/>
          <w:szCs w:val="24"/>
        </w:rPr>
        <w:t xml:space="preserve">. E-commerce innovation in omnichannel retailing has expanded within beauty and luxury industries </w:t>
      </w:r>
      <w:proofErr w:type="gramStart"/>
      <w:r w:rsidRPr="00E76122">
        <w:rPr>
          <w:rFonts w:ascii="Times New Roman" w:eastAsia="Times New Roman" w:hAnsi="Times New Roman"/>
          <w:color w:val="000000"/>
          <w:sz w:val="24"/>
          <w:szCs w:val="24"/>
        </w:rPr>
        <w:t>in an attempt to</w:t>
      </w:r>
      <w:proofErr w:type="gramEnd"/>
      <w:r w:rsidRPr="00E76122">
        <w:rPr>
          <w:rFonts w:ascii="Times New Roman" w:eastAsia="Times New Roman" w:hAnsi="Times New Roman"/>
          <w:color w:val="000000"/>
          <w:sz w:val="24"/>
          <w:szCs w:val="24"/>
        </w:rPr>
        <w:t xml:space="preserve"> more consistently meet customers where they are to reduce the likelihood of customer channel switching behavior (Youn et al., 2021). </w:t>
      </w:r>
      <w:r w:rsidRPr="00E76122">
        <w:rPr>
          <w:rFonts w:ascii="Times New Roman" w:hAnsi="Times New Roman"/>
          <w:sz w:val="24"/>
          <w:szCs w:val="24"/>
        </w:rPr>
        <w:t xml:space="preserve">Therefore, this study aims to assess </w:t>
      </w:r>
      <w:r w:rsidRPr="00E76122">
        <w:rPr>
          <w:rFonts w:ascii="Times New Roman" w:eastAsia="Times New Roman" w:hAnsi="Times New Roman"/>
          <w:color w:val="000000"/>
          <w:sz w:val="24"/>
          <w:szCs w:val="24"/>
        </w:rPr>
        <w:t xml:space="preserve">omnichannel beauty retailer </w:t>
      </w:r>
      <w:r>
        <w:rPr>
          <w:rFonts w:ascii="Times New Roman" w:eastAsia="Times New Roman" w:hAnsi="Times New Roman"/>
          <w:color w:val="000000"/>
          <w:sz w:val="24"/>
          <w:szCs w:val="24"/>
        </w:rPr>
        <w:t xml:space="preserve">service </w:t>
      </w:r>
      <w:r w:rsidRPr="00E76122">
        <w:rPr>
          <w:rFonts w:ascii="Times New Roman" w:eastAsia="Times New Roman" w:hAnsi="Times New Roman"/>
          <w:color w:val="000000"/>
          <w:sz w:val="24"/>
          <w:szCs w:val="24"/>
        </w:rPr>
        <w:t>consistency, service transparency, customer experience (flow) in channel usage, and the effect of customer</w:t>
      </w:r>
      <w:r>
        <w:rPr>
          <w:rFonts w:ascii="Times New Roman" w:eastAsia="Times New Roman" w:hAnsi="Times New Roman"/>
          <w:color w:val="000000"/>
          <w:sz w:val="24"/>
          <w:szCs w:val="24"/>
        </w:rPr>
        <w:t>s’</w:t>
      </w:r>
      <w:r w:rsidRPr="00E76122">
        <w:rPr>
          <w:rFonts w:ascii="Times New Roman" w:eastAsia="Times New Roman" w:hAnsi="Times New Roman"/>
          <w:color w:val="000000"/>
          <w:sz w:val="24"/>
          <w:szCs w:val="24"/>
        </w:rPr>
        <w:t xml:space="preserve"> trust on purchase intention within the beauty industry since the onset of Covid-19. </w:t>
      </w:r>
    </w:p>
    <w:p w14:paraId="76952C75" w14:textId="77777777" w:rsidR="00FD1D82" w:rsidRDefault="00FD1D82" w:rsidP="00FD1D82">
      <w:pPr>
        <w:spacing w:after="0" w:line="240" w:lineRule="auto"/>
        <w:ind w:firstLine="720"/>
        <w:jc w:val="center"/>
        <w:rPr>
          <w:rFonts w:ascii="Times New Roman" w:eastAsia="Times New Roman" w:hAnsi="Times New Roman"/>
          <w:b/>
          <w:bCs/>
          <w:color w:val="000000"/>
          <w:sz w:val="24"/>
          <w:szCs w:val="24"/>
        </w:rPr>
      </w:pPr>
    </w:p>
    <w:p w14:paraId="5645EE39" w14:textId="70EAB0FF" w:rsidR="00AE033F" w:rsidRPr="00AE033F" w:rsidRDefault="00AE033F" w:rsidP="00FD1D82">
      <w:pPr>
        <w:spacing w:after="0" w:line="240" w:lineRule="auto"/>
        <w:ind w:firstLine="720"/>
        <w:jc w:val="center"/>
        <w:rPr>
          <w:rFonts w:ascii="Times New Roman" w:eastAsia="Times New Roman" w:hAnsi="Times New Roman"/>
          <w:b/>
          <w:bCs/>
          <w:color w:val="000000"/>
          <w:sz w:val="24"/>
          <w:szCs w:val="24"/>
        </w:rPr>
      </w:pPr>
      <w:r w:rsidRPr="00AE033F">
        <w:rPr>
          <w:rFonts w:ascii="Times New Roman" w:eastAsia="Times New Roman" w:hAnsi="Times New Roman"/>
          <w:b/>
          <w:bCs/>
          <w:color w:val="000000"/>
          <w:sz w:val="24"/>
          <w:szCs w:val="24"/>
        </w:rPr>
        <w:t>Literature review</w:t>
      </w:r>
    </w:p>
    <w:p w14:paraId="53D0DCB8" w14:textId="05124BF2" w:rsidR="00AE033F" w:rsidRPr="00E76122" w:rsidRDefault="00AE033F" w:rsidP="00FD1D82">
      <w:pPr>
        <w:spacing w:afterLines="40" w:after="96" w:line="240" w:lineRule="auto"/>
        <w:ind w:firstLine="720"/>
        <w:rPr>
          <w:rFonts w:ascii="Times New Roman" w:hAnsi="Times New Roman"/>
          <w:sz w:val="24"/>
          <w:szCs w:val="24"/>
        </w:rPr>
      </w:pPr>
      <w:r w:rsidRPr="00E76122">
        <w:rPr>
          <w:rFonts w:ascii="Times New Roman" w:eastAsia="Times New Roman" w:hAnsi="Times New Roman"/>
          <w:color w:val="000000"/>
          <w:sz w:val="24"/>
          <w:szCs w:val="24"/>
        </w:rPr>
        <w:t>The Theory of Reasoned Action (TRA) (Fishbein &amp; Aj</w:t>
      </w:r>
      <w:r>
        <w:rPr>
          <w:rFonts w:ascii="Times New Roman" w:eastAsia="Times New Roman" w:hAnsi="Times New Roman"/>
          <w:color w:val="000000"/>
          <w:sz w:val="24"/>
          <w:szCs w:val="24"/>
        </w:rPr>
        <w:t>z</w:t>
      </w:r>
      <w:r w:rsidRPr="00E76122">
        <w:rPr>
          <w:rFonts w:ascii="Times New Roman" w:eastAsia="Times New Roman" w:hAnsi="Times New Roman"/>
          <w:color w:val="000000"/>
          <w:sz w:val="24"/>
          <w:szCs w:val="24"/>
        </w:rPr>
        <w:t xml:space="preserve">en, 1975) is the foundation for understanding the overall customer experience in this study. </w:t>
      </w:r>
      <w:r w:rsidRPr="00E76122">
        <w:rPr>
          <w:rFonts w:ascii="Times New Roman" w:hAnsi="Times New Roman"/>
          <w:sz w:val="24"/>
          <w:szCs w:val="24"/>
        </w:rPr>
        <w:t xml:space="preserve">The principle of TRA argues that a person's overall attitude toward an object is derived from one’s beliefs and feelings about the object's various attributes. TRA also suggests that the stronger the intentions of a consumer leads to increased effort to perform the intended behavior, which also increases the likelihood of the behavior to be effectively performed (Ajzen &amp; </w:t>
      </w:r>
      <w:proofErr w:type="spellStart"/>
      <w:r w:rsidRPr="00E76122">
        <w:rPr>
          <w:rFonts w:ascii="Times New Roman" w:hAnsi="Times New Roman"/>
          <w:sz w:val="24"/>
          <w:szCs w:val="24"/>
        </w:rPr>
        <w:t>Kruglanski</w:t>
      </w:r>
      <w:proofErr w:type="spellEnd"/>
      <w:r w:rsidRPr="00E76122">
        <w:rPr>
          <w:rFonts w:ascii="Times New Roman" w:hAnsi="Times New Roman"/>
          <w:sz w:val="24"/>
          <w:szCs w:val="24"/>
        </w:rPr>
        <w:t xml:space="preserve">, 2019). </w:t>
      </w:r>
      <w:r w:rsidR="00540058">
        <w:rPr>
          <w:rFonts w:ascii="Times New Roman" w:hAnsi="Times New Roman"/>
          <w:sz w:val="24"/>
          <w:szCs w:val="24"/>
        </w:rPr>
        <w:t>P</w:t>
      </w:r>
      <w:r w:rsidR="00540058" w:rsidRPr="00E76122">
        <w:rPr>
          <w:rFonts w:ascii="Times New Roman" w:hAnsi="Times New Roman"/>
          <w:sz w:val="24"/>
          <w:szCs w:val="24"/>
        </w:rPr>
        <w:t xml:space="preserve">rocess </w:t>
      </w:r>
      <w:r w:rsidRPr="00E76122">
        <w:rPr>
          <w:rFonts w:ascii="Times New Roman" w:hAnsi="Times New Roman"/>
          <w:sz w:val="24"/>
          <w:szCs w:val="24"/>
        </w:rPr>
        <w:t xml:space="preserve">consistency </w:t>
      </w:r>
      <w:r w:rsidR="00540058">
        <w:rPr>
          <w:rFonts w:ascii="Times New Roman" w:hAnsi="Times New Roman"/>
          <w:sz w:val="24"/>
          <w:szCs w:val="24"/>
        </w:rPr>
        <w:t>refers to</w:t>
      </w:r>
      <w:r w:rsidR="00540058" w:rsidRPr="00E76122">
        <w:rPr>
          <w:rFonts w:ascii="Times New Roman" w:hAnsi="Times New Roman"/>
          <w:sz w:val="24"/>
          <w:szCs w:val="24"/>
        </w:rPr>
        <w:t xml:space="preserve"> </w:t>
      </w:r>
      <w:r w:rsidRPr="00E76122">
        <w:rPr>
          <w:rFonts w:ascii="Times New Roman" w:hAnsi="Times New Roman"/>
          <w:sz w:val="24"/>
          <w:szCs w:val="24"/>
        </w:rPr>
        <w:t xml:space="preserve">the degree of relevant and comparable systems that reach the customer across multiple channels through feel, imagery, and delivery speed </w:t>
      </w:r>
      <w:r w:rsidRPr="00E76122">
        <w:rPr>
          <w:rFonts w:ascii="Times New Roman" w:hAnsi="Times New Roman"/>
          <w:sz w:val="24"/>
          <w:szCs w:val="24"/>
        </w:rPr>
        <w:fldChar w:fldCharType="begin" w:fldLock="1"/>
      </w:r>
      <w:r w:rsidRPr="00E76122">
        <w:rPr>
          <w:rFonts w:ascii="Times New Roman" w:hAnsi="Times New Roman"/>
          <w:sz w:val="24"/>
          <w:szCs w:val="24"/>
        </w:rPr>
        <w:instrText>ADDIN CSL_CITATION {"citationItems":[{"id":"ITEM-1","itemData":{"DOI":"https://doi.org/10.1016/j.indmarman.2018.12.004","ISSN":"0019-8501","abstract":"While many retailers have turned to omnichannel retailing to remain competitive, engaging customers across channels has become one of the biggest challenges they face. Drawing on social exchange theory, we proposed and tested a research model of customer engagement in the context of omnichannel retailing. Structural equation modeling was employed to test the research model with customers of two emerging omnichannel retailers, Apple (n = 269) and Kroger (n = 221). The results showed that channel integration quality dimensions (including breadth of channel-service choice, transparency of channel-service configuration, content consistency, and process consistency) positively influenced customer engagement which in turn led to positive word-of-mouth and repurchase intention. The research model was examined using both high-involvement products (e.g., Apple) and low-involvement products (e.g., Kroger) despite the varying effects of channel integration quality on customer engagement. This study adds to the growing body of knowledge on customer engagement vis-à-vis omnichannel retailing and provides retailers with actionable insights into engaging customers across channels.","author":[{"dropping-particle":"","family":"Lee","given":"Zach W Y","non-dropping-particle":"","parse-names":false,"suffix":""},{"dropping-particle":"","family":"Chan","given":"Tommy K H","non-dropping-particle":"","parse-names":false,"suffix":""},{"dropping-particle":"","family":"Chong","given":"Alain Yee-Loong","non-dropping-particle":"","parse-names":false,"suffix":""},{"dropping-particle":"","family":"Thadani","given":"Dimple R","non-dropping-particle":"","parse-names":false,"suffix":""}],"container-title":"Industrial Marketing Management","id":"ITEM-1","issued":{"date-parts":[["2019"]]},"page":"90-101","title":"Customer engagement through omnichannel retailing: The effects of channel integration quality","type":"article-journal","volume":"77"},"uris":["http://www.mendeley.com/documents/?uuid=e76beb3c-c21d-401e-a0a8-94eec350751d"]}],"mendeley":{"formattedCitation":"(Lee et al., 2019)","plainTextFormattedCitation":"(Lee et al., 2019)"},"properties":{"noteIndex":0},"schema":"https://github.com/citation-style-language/schema/raw/master/csl-citation.json"}</w:instrText>
      </w:r>
      <w:r w:rsidRPr="00E76122">
        <w:rPr>
          <w:rFonts w:ascii="Times New Roman" w:hAnsi="Times New Roman"/>
          <w:sz w:val="24"/>
          <w:szCs w:val="24"/>
        </w:rPr>
        <w:fldChar w:fldCharType="separate"/>
      </w:r>
      <w:r w:rsidRPr="00E76122">
        <w:rPr>
          <w:rFonts w:ascii="Times New Roman" w:hAnsi="Times New Roman"/>
          <w:noProof/>
          <w:sz w:val="24"/>
          <w:szCs w:val="24"/>
        </w:rPr>
        <w:t>(Lee et al., 2019)</w:t>
      </w:r>
      <w:r w:rsidRPr="00E76122">
        <w:rPr>
          <w:rFonts w:ascii="Times New Roman" w:hAnsi="Times New Roman"/>
          <w:sz w:val="24"/>
          <w:szCs w:val="24"/>
        </w:rPr>
        <w:fldChar w:fldCharType="end"/>
      </w:r>
      <w:r w:rsidRPr="00E76122">
        <w:rPr>
          <w:rFonts w:ascii="Times New Roman" w:hAnsi="Times New Roman"/>
          <w:sz w:val="24"/>
          <w:szCs w:val="24"/>
        </w:rPr>
        <w:t xml:space="preserve">. Customers report significant dissatisfaction when inconsistent shopping experiences occur across channels. Service transparency refers to the degree of customer awareness of available service channels </w:t>
      </w:r>
      <w:r w:rsidRPr="00E76122">
        <w:rPr>
          <w:rFonts w:ascii="Times New Roman" w:hAnsi="Times New Roman"/>
          <w:sz w:val="24"/>
          <w:szCs w:val="24"/>
        </w:rPr>
        <w:fldChar w:fldCharType="begin" w:fldLock="1"/>
      </w:r>
      <w:r w:rsidRPr="00E76122">
        <w:rPr>
          <w:rFonts w:ascii="Times New Roman" w:hAnsi="Times New Roman"/>
          <w:sz w:val="24"/>
          <w:szCs w:val="24"/>
        </w:rPr>
        <w:instrText>ADDIN CSL_CITATION {"citationItems":[{"id":"ITEM-1","itemData":{"DOI":"https://doi.org/10.1016/j.indmarman.2018.12.004","ISSN":"0019-8501","abstract":"While many retailers have turned to omnichannel retailing to remain competitive, engaging customers across channels has become one of the biggest challenges they face. Drawing on social exchange theory, we proposed and tested a research model of customer engagement in the context of omnichannel retailing. Structural equation modeling was employed to test the research model with customers of two emerging omnichannel retailers, Apple (n = 269) and Kroger (n = 221). The results showed that channel integration quality dimensions (including breadth of channel-service choice, transparency of channel-service configuration, content consistency, and process consistency) positively influenced customer engagement which in turn led to positive word-of-mouth and repurchase intention. The research model was examined using both high-involvement products (e.g., Apple) and low-involvement products (e.g., Kroger) despite the varying effects of channel integration quality on customer engagement. This study adds to the growing body of knowledge on customer engagement vis-à-vis omnichannel retailing and provides retailers with actionable insights into engaging customers across channels.","author":[{"dropping-particle":"","family":"Lee","given":"Zach W Y","non-dropping-particle":"","parse-names":false,"suffix":""},{"dropping-particle":"","family":"Chan","given":"Tommy K H","non-dropping-particle":"","parse-names":false,"suffix":""},{"dropping-particle":"","family":"Chong","given":"Alain Yee-Loong","non-dropping-particle":"","parse-names":false,"suffix":""},{"dropping-particle":"","family":"Thadani","given":"Dimple R","non-dropping-particle":"","parse-names":false,"suffix":""}],"container-title":"Industrial Marketing Management","id":"ITEM-1","issued":{"date-parts":[["2019"]]},"page":"90-101","title":"Customer engagement through omnichannel retailing: The effects of channel integration quality","type":"article-journal","volume":"77"},"uris":["http://www.mendeley.com/documents/?uuid=e76beb3c-c21d-401e-a0a8-94eec350751d"]}],"mendeley":{"formattedCitation":"(Lee et al., 2019)","plainTextFormattedCitation":"(Lee et al., 2019)"},"properties":{"noteIndex":0},"schema":"https://github.com/citation-style-language/schema/raw/master/csl-citation.json"}</w:instrText>
      </w:r>
      <w:r w:rsidRPr="00E76122">
        <w:rPr>
          <w:rFonts w:ascii="Times New Roman" w:hAnsi="Times New Roman"/>
          <w:sz w:val="24"/>
          <w:szCs w:val="24"/>
        </w:rPr>
        <w:fldChar w:fldCharType="separate"/>
      </w:r>
      <w:r w:rsidRPr="00E76122">
        <w:rPr>
          <w:rFonts w:ascii="Times New Roman" w:hAnsi="Times New Roman"/>
          <w:noProof/>
          <w:sz w:val="24"/>
          <w:szCs w:val="24"/>
        </w:rPr>
        <w:t>(Lee et al., 2019)</w:t>
      </w:r>
      <w:r w:rsidRPr="00E76122">
        <w:rPr>
          <w:rFonts w:ascii="Times New Roman" w:hAnsi="Times New Roman"/>
          <w:sz w:val="24"/>
          <w:szCs w:val="24"/>
        </w:rPr>
        <w:fldChar w:fldCharType="end"/>
      </w:r>
      <w:r w:rsidRPr="00E76122">
        <w:rPr>
          <w:rFonts w:ascii="Times New Roman" w:hAnsi="Times New Roman"/>
          <w:sz w:val="24"/>
          <w:szCs w:val="24"/>
        </w:rPr>
        <w:t xml:space="preserve">. Previous research shows that service transparency and service consistency are positively related to customer experience or flow (Quach et al., 2020). Flow explains the movement's effectiveness from multichannel to an omnichannel strategy that consequently increases customer pleasure while distorting customer sense of time and self-consciousness (Quach et al., 2020). Customer experience or flow is also related to customer trust, which research shows that trust is a primary relational factor that can promote conversion within customers (Morgan &amp; Hunt, 1994). Customer trust is a formed positive belief system towards the product as well as the producer (Yen, 2020). Customer trust relates to the overall customer purchase intention, which is described as </w:t>
      </w:r>
      <w:r w:rsidRPr="00E76122">
        <w:rPr>
          <w:rFonts w:ascii="Times New Roman" w:hAnsi="Times New Roman"/>
          <w:sz w:val="24"/>
          <w:szCs w:val="24"/>
          <w:highlight w:val="white"/>
        </w:rPr>
        <w:t xml:space="preserve">the customers' conscious plan to purchase a certain product or engage in a certain </w:t>
      </w:r>
      <w:r w:rsidRPr="00E76122">
        <w:rPr>
          <w:rFonts w:ascii="Times New Roman" w:hAnsi="Times New Roman"/>
          <w:sz w:val="24"/>
          <w:szCs w:val="24"/>
          <w:highlight w:val="white"/>
        </w:rPr>
        <w:lastRenderedPageBreak/>
        <w:t>service through a retailer online or offline in the future (Fishbein &amp; Ajz</w:t>
      </w:r>
      <w:r w:rsidRPr="00E76122">
        <w:rPr>
          <w:rFonts w:ascii="Times New Roman" w:hAnsi="Times New Roman"/>
          <w:sz w:val="24"/>
          <w:szCs w:val="24"/>
        </w:rPr>
        <w:t>en, 1975</w:t>
      </w:r>
      <w:r w:rsidRPr="00E76122">
        <w:rPr>
          <w:rFonts w:ascii="Times New Roman" w:hAnsi="Times New Roman"/>
          <w:sz w:val="24"/>
          <w:szCs w:val="24"/>
          <w:highlight w:val="white"/>
        </w:rPr>
        <w:t xml:space="preserve">; Lu et al., 2014). As purchase intention relates back to the principles within TRA, and </w:t>
      </w:r>
      <w:proofErr w:type="gramStart"/>
      <w:r w:rsidRPr="00E76122">
        <w:rPr>
          <w:rFonts w:ascii="Times New Roman" w:hAnsi="Times New Roman"/>
          <w:sz w:val="24"/>
          <w:szCs w:val="24"/>
          <w:highlight w:val="white"/>
        </w:rPr>
        <w:t>by definition TRA</w:t>
      </w:r>
      <w:proofErr w:type="gramEnd"/>
      <w:r w:rsidRPr="00E76122">
        <w:rPr>
          <w:rFonts w:ascii="Times New Roman" w:hAnsi="Times New Roman"/>
          <w:sz w:val="24"/>
          <w:szCs w:val="24"/>
          <w:highlight w:val="white"/>
        </w:rPr>
        <w:t xml:space="preserve"> relates to beliefs systems and feelings shared from the consumer towards to product or producer, there is a gap to study the elements of customer trust, as a belief system, and determine trust’s relationship with customer purchase intention. </w:t>
      </w:r>
    </w:p>
    <w:p w14:paraId="03175E1D" w14:textId="77777777" w:rsidR="006A6B9D" w:rsidRDefault="006A6B9D" w:rsidP="00FD1D82">
      <w:pPr>
        <w:spacing w:after="0" w:line="240" w:lineRule="auto"/>
        <w:rPr>
          <w:rFonts w:ascii="Times New Roman" w:hAnsi="Times New Roman"/>
          <w:sz w:val="24"/>
          <w:szCs w:val="24"/>
        </w:rPr>
      </w:pPr>
    </w:p>
    <w:p w14:paraId="0EB05AC9" w14:textId="2F1CE8AF" w:rsidR="00AE033F" w:rsidRPr="00E76122" w:rsidRDefault="00AE033F" w:rsidP="00FD1D82">
      <w:pPr>
        <w:spacing w:after="0" w:line="240" w:lineRule="auto"/>
        <w:rPr>
          <w:rFonts w:ascii="Times New Roman" w:hAnsi="Times New Roman"/>
          <w:sz w:val="24"/>
          <w:szCs w:val="24"/>
        </w:rPr>
      </w:pPr>
      <w:r w:rsidRPr="00E76122">
        <w:rPr>
          <w:rFonts w:ascii="Times New Roman" w:hAnsi="Times New Roman"/>
          <w:sz w:val="24"/>
          <w:szCs w:val="24"/>
        </w:rPr>
        <w:t xml:space="preserve">H1: Service consistency has a direct positive effect on customer experience (flow). </w:t>
      </w:r>
    </w:p>
    <w:p w14:paraId="1E977FA1" w14:textId="77777777" w:rsidR="00AE033F" w:rsidRPr="00E76122" w:rsidRDefault="00AE033F" w:rsidP="00FD1D82">
      <w:pPr>
        <w:spacing w:after="0" w:line="240" w:lineRule="auto"/>
        <w:rPr>
          <w:rFonts w:ascii="Times New Roman" w:hAnsi="Times New Roman"/>
          <w:sz w:val="24"/>
          <w:szCs w:val="24"/>
        </w:rPr>
      </w:pPr>
      <w:r w:rsidRPr="00E76122">
        <w:rPr>
          <w:rFonts w:ascii="Times New Roman" w:hAnsi="Times New Roman"/>
          <w:sz w:val="24"/>
          <w:szCs w:val="24"/>
        </w:rPr>
        <w:t>H2: Service transparency has a direct positive effect on customer experience (flow).</w:t>
      </w:r>
    </w:p>
    <w:p w14:paraId="3507F637" w14:textId="77777777" w:rsidR="00AE033F" w:rsidRPr="00E76122" w:rsidRDefault="00AE033F" w:rsidP="00FD1D82">
      <w:pPr>
        <w:spacing w:after="0" w:line="240" w:lineRule="auto"/>
        <w:rPr>
          <w:rFonts w:ascii="Times New Roman" w:hAnsi="Times New Roman"/>
          <w:sz w:val="24"/>
          <w:szCs w:val="24"/>
        </w:rPr>
      </w:pPr>
      <w:r w:rsidRPr="00E76122">
        <w:rPr>
          <w:rFonts w:ascii="Times New Roman" w:hAnsi="Times New Roman"/>
          <w:sz w:val="24"/>
          <w:szCs w:val="24"/>
        </w:rPr>
        <w:t>H3: Customer experience (flow) has a direct positive effect to purchase intention.</w:t>
      </w:r>
    </w:p>
    <w:p w14:paraId="0D7D74B3" w14:textId="77777777" w:rsidR="00AE033F" w:rsidRPr="00E76122" w:rsidRDefault="00AE033F" w:rsidP="00FD1D82">
      <w:pPr>
        <w:spacing w:after="0" w:line="240" w:lineRule="auto"/>
        <w:rPr>
          <w:rFonts w:ascii="Times New Roman" w:hAnsi="Times New Roman"/>
          <w:sz w:val="24"/>
          <w:szCs w:val="24"/>
        </w:rPr>
      </w:pPr>
      <w:r w:rsidRPr="00E76122">
        <w:rPr>
          <w:rFonts w:ascii="Times New Roman" w:hAnsi="Times New Roman"/>
          <w:sz w:val="24"/>
          <w:szCs w:val="24"/>
        </w:rPr>
        <w:t>H4: Customer experience (flow) has a direct positive effect to trust.</w:t>
      </w:r>
    </w:p>
    <w:p w14:paraId="20F2ACE7" w14:textId="77777777" w:rsidR="00AE033F" w:rsidRPr="00E76122" w:rsidRDefault="00AE033F" w:rsidP="00FD1D82">
      <w:pPr>
        <w:spacing w:after="0" w:line="240" w:lineRule="auto"/>
        <w:rPr>
          <w:rFonts w:ascii="Times New Roman" w:hAnsi="Times New Roman"/>
          <w:sz w:val="24"/>
          <w:szCs w:val="24"/>
        </w:rPr>
      </w:pPr>
      <w:r w:rsidRPr="00E76122">
        <w:rPr>
          <w:rFonts w:ascii="Times New Roman" w:hAnsi="Times New Roman"/>
          <w:sz w:val="24"/>
          <w:szCs w:val="24"/>
        </w:rPr>
        <w:t xml:space="preserve">H5: The effect of customer experience on purchase intention is mediated by trust. </w:t>
      </w:r>
      <w:r w:rsidRPr="00E76122">
        <w:rPr>
          <w:rFonts w:ascii="Times New Roman" w:hAnsi="Times New Roman"/>
          <w:sz w:val="24"/>
          <w:szCs w:val="24"/>
          <w:highlight w:val="white"/>
        </w:rPr>
        <w:t xml:space="preserve"> </w:t>
      </w:r>
    </w:p>
    <w:p w14:paraId="0AAC8C4D" w14:textId="77777777" w:rsidR="00FD1D82" w:rsidRDefault="00FD1D82" w:rsidP="00FD1D82">
      <w:pPr>
        <w:spacing w:afterLines="40" w:after="96" w:line="240" w:lineRule="auto"/>
        <w:jc w:val="center"/>
        <w:rPr>
          <w:rFonts w:ascii="Times New Roman" w:hAnsi="Times New Roman"/>
          <w:b/>
          <w:bCs/>
          <w:sz w:val="24"/>
          <w:szCs w:val="24"/>
        </w:rPr>
      </w:pPr>
    </w:p>
    <w:p w14:paraId="18DFE466" w14:textId="53D76E3A" w:rsidR="00AE033F" w:rsidRPr="00AE033F" w:rsidRDefault="00AE033F" w:rsidP="00FD1D82">
      <w:pPr>
        <w:spacing w:after="0" w:line="240" w:lineRule="auto"/>
        <w:jc w:val="center"/>
        <w:rPr>
          <w:rFonts w:ascii="Times New Roman" w:hAnsi="Times New Roman"/>
          <w:b/>
          <w:bCs/>
          <w:sz w:val="24"/>
          <w:szCs w:val="24"/>
        </w:rPr>
      </w:pPr>
      <w:r w:rsidRPr="00AE033F">
        <w:rPr>
          <w:rFonts w:ascii="Times New Roman" w:hAnsi="Times New Roman"/>
          <w:b/>
          <w:bCs/>
          <w:sz w:val="24"/>
          <w:szCs w:val="24"/>
        </w:rPr>
        <w:t>Methods</w:t>
      </w:r>
    </w:p>
    <w:p w14:paraId="6049E5A9" w14:textId="3935D694" w:rsidR="00AE033F" w:rsidRPr="00E76122" w:rsidRDefault="00AE033F" w:rsidP="00FD1D82">
      <w:pPr>
        <w:spacing w:after="0" w:line="240" w:lineRule="auto"/>
        <w:ind w:firstLine="720"/>
        <w:rPr>
          <w:rFonts w:ascii="Times New Roman" w:hAnsi="Times New Roman"/>
          <w:sz w:val="24"/>
          <w:szCs w:val="24"/>
        </w:rPr>
      </w:pPr>
      <w:r w:rsidRPr="00E76122">
        <w:rPr>
          <w:rFonts w:ascii="Times New Roman" w:hAnsi="Times New Roman"/>
          <w:sz w:val="24"/>
          <w:szCs w:val="24"/>
        </w:rPr>
        <w:t>The measurement items were adapted from previous research using a 5-point Likert scale</w:t>
      </w:r>
      <w:r w:rsidR="00BA0913">
        <w:rPr>
          <w:rFonts w:ascii="Times New Roman" w:hAnsi="Times New Roman"/>
          <w:sz w:val="24"/>
          <w:szCs w:val="24"/>
        </w:rPr>
        <w:t xml:space="preserve"> </w:t>
      </w:r>
      <w:r w:rsidR="00BA0913" w:rsidRPr="00E76122">
        <w:rPr>
          <w:rFonts w:ascii="Times New Roman" w:hAnsi="Times New Roman"/>
          <w:sz w:val="24"/>
          <w:szCs w:val="24"/>
        </w:rPr>
        <w:t>(Ajzen &amp; Fishbein, 1980; Quach et al., 2020</w:t>
      </w:r>
      <w:r w:rsidR="00BA0913">
        <w:rPr>
          <w:rFonts w:ascii="Times New Roman" w:hAnsi="Times New Roman"/>
          <w:sz w:val="24"/>
          <w:szCs w:val="24"/>
        </w:rPr>
        <w:t xml:space="preserve">; </w:t>
      </w:r>
      <w:r w:rsidR="00BA0913" w:rsidRPr="00E76122">
        <w:rPr>
          <w:rFonts w:ascii="Times New Roman" w:hAnsi="Times New Roman"/>
          <w:sz w:val="24"/>
          <w:szCs w:val="24"/>
        </w:rPr>
        <w:t>Paul et al., 2016)</w:t>
      </w:r>
      <w:r w:rsidRPr="00E76122">
        <w:rPr>
          <w:rFonts w:ascii="Times New Roman" w:hAnsi="Times New Roman"/>
          <w:sz w:val="24"/>
          <w:szCs w:val="24"/>
        </w:rPr>
        <w:t xml:space="preserve">. Amazon </w:t>
      </w:r>
      <w:proofErr w:type="spellStart"/>
      <w:r w:rsidRPr="00E76122">
        <w:rPr>
          <w:rFonts w:ascii="Times New Roman" w:hAnsi="Times New Roman"/>
          <w:sz w:val="24"/>
          <w:szCs w:val="24"/>
        </w:rPr>
        <w:t>MTurk</w:t>
      </w:r>
      <w:proofErr w:type="spellEnd"/>
      <w:r w:rsidRPr="00E76122">
        <w:rPr>
          <w:rFonts w:ascii="Times New Roman" w:hAnsi="Times New Roman"/>
          <w:sz w:val="24"/>
          <w:szCs w:val="24"/>
        </w:rPr>
        <w:t xml:space="preserve"> was used to administer a questionnaire for data collection</w:t>
      </w:r>
      <w:r w:rsidR="00E1077B">
        <w:rPr>
          <w:rFonts w:ascii="Times New Roman" w:hAnsi="Times New Roman"/>
          <w:sz w:val="24"/>
          <w:szCs w:val="24"/>
        </w:rPr>
        <w:t xml:space="preserve"> with a total of 429 participants were used for data analysis </w:t>
      </w:r>
      <w:r w:rsidR="00E1077B" w:rsidRPr="00E76122">
        <w:rPr>
          <w:rFonts w:ascii="Times New Roman" w:hAnsi="Times New Roman"/>
          <w:sz w:val="24"/>
          <w:szCs w:val="24"/>
        </w:rPr>
        <w:t>(males 38% and females 62%; median age = 34)</w:t>
      </w:r>
      <w:r w:rsidRPr="00E76122">
        <w:rPr>
          <w:rFonts w:ascii="Times New Roman" w:hAnsi="Times New Roman"/>
          <w:sz w:val="24"/>
          <w:szCs w:val="24"/>
        </w:rPr>
        <w:t xml:space="preserve">. Prior to starting the main questionnaire, participants were given a selection of omnichannel beauty retailers (i.e., Sephora, </w:t>
      </w:r>
      <w:proofErr w:type="spellStart"/>
      <w:r w:rsidRPr="00E76122">
        <w:rPr>
          <w:rFonts w:ascii="Times New Roman" w:hAnsi="Times New Roman"/>
          <w:sz w:val="24"/>
          <w:szCs w:val="24"/>
        </w:rPr>
        <w:t>Ulta</w:t>
      </w:r>
      <w:proofErr w:type="spellEnd"/>
      <w:r w:rsidRPr="00E76122">
        <w:rPr>
          <w:rFonts w:ascii="Times New Roman" w:hAnsi="Times New Roman"/>
          <w:sz w:val="24"/>
          <w:szCs w:val="24"/>
        </w:rPr>
        <w:t>, Target, Walmart, Macy's, Nordstrom, Kohl's, CVS, and Walgreens) to choose from to ensure that the respondents have shopped in one or more of the stores presented in the past 12 months.  Next, participants were asked to answer questions adopted from the literature</w:t>
      </w:r>
      <w:r w:rsidR="0031195B">
        <w:rPr>
          <w:rFonts w:ascii="Times New Roman" w:hAnsi="Times New Roman"/>
          <w:sz w:val="24"/>
          <w:szCs w:val="24"/>
        </w:rPr>
        <w:t>.</w:t>
      </w:r>
      <w:r w:rsidRPr="00E76122">
        <w:rPr>
          <w:rFonts w:ascii="Times New Roman" w:hAnsi="Times New Roman"/>
          <w:sz w:val="24"/>
          <w:szCs w:val="24"/>
        </w:rPr>
        <w:t xml:space="preserve"> To test the hypotheses, this study employed structural equation modeling using </w:t>
      </w:r>
      <w:proofErr w:type="spellStart"/>
      <w:r w:rsidRPr="00E76122">
        <w:rPr>
          <w:rFonts w:ascii="Times New Roman" w:hAnsi="Times New Roman"/>
          <w:sz w:val="24"/>
          <w:szCs w:val="24"/>
        </w:rPr>
        <w:t>MPlus</w:t>
      </w:r>
      <w:proofErr w:type="spellEnd"/>
      <w:r w:rsidRPr="00E76122">
        <w:rPr>
          <w:rFonts w:ascii="Times New Roman" w:hAnsi="Times New Roman"/>
          <w:sz w:val="24"/>
          <w:szCs w:val="24"/>
        </w:rPr>
        <w:t>.</w:t>
      </w:r>
    </w:p>
    <w:p w14:paraId="18CAE65A" w14:textId="77777777" w:rsidR="00FD1D82" w:rsidRDefault="00FD1D82" w:rsidP="00FD1D82">
      <w:pPr>
        <w:spacing w:after="0" w:line="240" w:lineRule="auto"/>
        <w:jc w:val="center"/>
        <w:rPr>
          <w:rFonts w:ascii="Times New Roman" w:hAnsi="Times New Roman"/>
          <w:b/>
          <w:bCs/>
          <w:sz w:val="24"/>
          <w:szCs w:val="24"/>
        </w:rPr>
      </w:pPr>
    </w:p>
    <w:p w14:paraId="0DFC5E9D" w14:textId="31D02291" w:rsidR="00AE033F" w:rsidRPr="00AE033F" w:rsidRDefault="00AE033F" w:rsidP="00FD1D82">
      <w:pPr>
        <w:spacing w:after="0" w:line="240" w:lineRule="auto"/>
        <w:jc w:val="center"/>
        <w:rPr>
          <w:rFonts w:ascii="Times New Roman" w:hAnsi="Times New Roman"/>
          <w:b/>
          <w:bCs/>
          <w:sz w:val="24"/>
          <w:szCs w:val="24"/>
        </w:rPr>
      </w:pPr>
      <w:r w:rsidRPr="00AE033F">
        <w:rPr>
          <w:rFonts w:ascii="Times New Roman" w:hAnsi="Times New Roman"/>
          <w:b/>
          <w:bCs/>
          <w:sz w:val="24"/>
          <w:szCs w:val="24"/>
        </w:rPr>
        <w:t>Results</w:t>
      </w:r>
    </w:p>
    <w:p w14:paraId="25C654D3" w14:textId="05C6A210" w:rsidR="00AE033F" w:rsidRDefault="00AE033F" w:rsidP="00FD1D82">
      <w:pPr>
        <w:spacing w:after="0" w:line="240" w:lineRule="auto"/>
        <w:rPr>
          <w:rFonts w:ascii="Times New Roman" w:eastAsiaTheme="minorEastAsia" w:hAnsi="Times New Roman"/>
          <w:sz w:val="24"/>
          <w:szCs w:val="24"/>
        </w:rPr>
      </w:pPr>
      <w:r w:rsidRPr="00E76122">
        <w:rPr>
          <w:rFonts w:ascii="Times New Roman" w:hAnsi="Times New Roman"/>
          <w:sz w:val="24"/>
          <w:szCs w:val="24"/>
        </w:rPr>
        <w:tab/>
        <w:t xml:space="preserve">The confirmatory factor analysis </w:t>
      </w:r>
      <m:oMath>
        <m:r>
          <w:rPr>
            <w:rFonts w:ascii="Cambria Math" w:hAnsi="Cambria Math"/>
            <w:sz w:val="24"/>
            <w:szCs w:val="24"/>
          </w:rPr>
          <m:t>(</m:t>
        </m:r>
        <m:r>
          <m:rPr>
            <m:sty m:val="p"/>
          </m:rPr>
          <w:rPr>
            <w:rFonts w:ascii="Cambria Math" w:hAnsi="Cambria Math"/>
            <w:sz w:val="24"/>
            <w:szCs w:val="24"/>
          </w:rPr>
          <m:t xml:space="preserve">CFI=.920, TLI=.901, RMSEA=.066, SRMR=.042,  </m:t>
        </m:r>
        <m:sSup>
          <m:sSupPr>
            <m:ctrlPr>
              <w:rPr>
                <w:rFonts w:ascii="Cambria Math" w:hAnsi="Cambria Math"/>
                <w:iCs/>
                <w:sz w:val="24"/>
                <w:szCs w:val="24"/>
              </w:rPr>
            </m:ctrlPr>
          </m:sSupPr>
          <m:e>
            <m:r>
              <w:rPr>
                <w:rFonts w:ascii="Cambria Math" w:hAnsi="Cambria Math"/>
                <w:sz w:val="24"/>
                <w:szCs w:val="24"/>
              </w:rPr>
              <m:t>χ</m:t>
            </m:r>
          </m:e>
          <m:sup>
            <m:r>
              <w:rPr>
                <w:rFonts w:ascii="Cambria Math" w:hAnsi="Cambria Math"/>
                <w:sz w:val="24"/>
                <w:szCs w:val="24"/>
              </w:rPr>
              <m:t>2</m:t>
            </m:r>
          </m:sup>
        </m:sSup>
        <m:r>
          <m:rPr>
            <m:sty m:val="p"/>
          </m:rPr>
          <w:rPr>
            <w:rFonts w:ascii="Cambria Math" w:hAnsi="Cambria Math"/>
            <w:sz w:val="24"/>
            <w:szCs w:val="24"/>
          </w:rPr>
          <m:t xml:space="preserve">= 311.63, </m:t>
        </m:r>
        <m:r>
          <w:rPr>
            <w:rFonts w:ascii="Cambria Math" w:hAnsi="Cambria Math"/>
            <w:sz w:val="24"/>
            <w:szCs w:val="24"/>
          </w:rPr>
          <m:t>df</m:t>
        </m:r>
        <m:r>
          <m:rPr>
            <m:sty m:val="p"/>
          </m:rPr>
          <w:rPr>
            <w:rFonts w:ascii="Cambria Math" w:hAnsi="Cambria Math"/>
            <w:sz w:val="24"/>
            <w:szCs w:val="24"/>
          </w:rPr>
          <m:t xml:space="preserve">=109, </m:t>
        </m:r>
        <m:r>
          <w:rPr>
            <w:rFonts w:ascii="Cambria Math" w:hAnsi="Cambria Math"/>
            <w:sz w:val="24"/>
            <w:szCs w:val="24"/>
          </w:rPr>
          <m:t>p&lt;.001)</m:t>
        </m:r>
        <m:r>
          <m:rPr>
            <m:sty m:val="p"/>
          </m:rPr>
          <w:rPr>
            <w:rFonts w:ascii="Cambria Math" w:hAnsi="Cambria Math"/>
            <w:sz w:val="24"/>
            <w:szCs w:val="24"/>
          </w:rPr>
          <m:t xml:space="preserve"> </m:t>
        </m:r>
      </m:oMath>
      <w:r w:rsidRPr="00E76122">
        <w:rPr>
          <w:rFonts w:ascii="Times New Roman" w:eastAsiaTheme="minorEastAsia" w:hAnsi="Times New Roman"/>
          <w:iCs/>
          <w:sz w:val="24"/>
          <w:szCs w:val="24"/>
        </w:rPr>
        <w:t xml:space="preserve">and SEM analysis </w:t>
      </w:r>
      <m:oMath>
        <m:r>
          <w:rPr>
            <w:rFonts w:ascii="Cambria Math" w:hAnsi="Cambria Math"/>
            <w:sz w:val="24"/>
            <w:szCs w:val="24"/>
          </w:rPr>
          <m:t>(</m:t>
        </m:r>
        <m:r>
          <m:rPr>
            <m:sty m:val="p"/>
          </m:rPr>
          <w:rPr>
            <w:rFonts w:ascii="Cambria Math" w:hAnsi="Cambria Math"/>
            <w:sz w:val="24"/>
            <w:szCs w:val="24"/>
          </w:rPr>
          <m:t xml:space="preserve">CFI=.913, TLI=.913, RMSEA=.067, SRMR=.045, </m:t>
        </m:r>
        <m:sSup>
          <m:sSupPr>
            <m:ctrlPr>
              <w:rPr>
                <w:rFonts w:ascii="Cambria Math" w:hAnsi="Cambria Math"/>
                <w:iCs/>
                <w:sz w:val="24"/>
                <w:szCs w:val="24"/>
              </w:rPr>
            </m:ctrlPr>
          </m:sSupPr>
          <m:e>
            <m:r>
              <w:rPr>
                <w:rFonts w:ascii="Cambria Math" w:hAnsi="Cambria Math"/>
                <w:sz w:val="24"/>
                <w:szCs w:val="24"/>
              </w:rPr>
              <m:t>χ</m:t>
            </m:r>
          </m:e>
          <m:sup>
            <m:r>
              <w:rPr>
                <w:rFonts w:ascii="Cambria Math" w:hAnsi="Cambria Math"/>
                <w:sz w:val="24"/>
                <w:szCs w:val="24"/>
              </w:rPr>
              <m:t>2</m:t>
            </m:r>
          </m:sup>
        </m:sSup>
        <m:r>
          <m:rPr>
            <m:sty m:val="p"/>
          </m:rPr>
          <w:rPr>
            <w:rFonts w:ascii="Cambria Math" w:hAnsi="Cambria Math"/>
            <w:sz w:val="24"/>
            <w:szCs w:val="24"/>
          </w:rPr>
          <m:t xml:space="preserve">= 333.497, </m:t>
        </m:r>
        <m:r>
          <w:rPr>
            <w:rFonts w:ascii="Cambria Math" w:hAnsi="Cambria Math"/>
            <w:sz w:val="24"/>
            <w:szCs w:val="24"/>
          </w:rPr>
          <m:t>df</m:t>
        </m:r>
        <m:r>
          <m:rPr>
            <m:sty m:val="p"/>
          </m:rPr>
          <w:rPr>
            <w:rFonts w:ascii="Cambria Math" w:hAnsi="Cambria Math"/>
            <w:sz w:val="24"/>
            <w:szCs w:val="24"/>
          </w:rPr>
          <m:t xml:space="preserve">=113, </m:t>
        </m:r>
        <m:r>
          <w:rPr>
            <w:rFonts w:ascii="Cambria Math" w:hAnsi="Cambria Math"/>
            <w:sz w:val="24"/>
            <w:szCs w:val="24"/>
          </w:rPr>
          <m:t>p&lt;.001)</m:t>
        </m:r>
      </m:oMath>
      <w:r w:rsidRPr="00E76122">
        <w:rPr>
          <w:rFonts w:ascii="Times New Roman" w:eastAsiaTheme="minorEastAsia" w:hAnsi="Times New Roman"/>
          <w:sz w:val="24"/>
          <w:szCs w:val="24"/>
        </w:rPr>
        <w:t xml:space="preserve">. In the model </w:t>
      </w:r>
      <m:oMath>
        <m:r>
          <w:rPr>
            <w:rFonts w:ascii="Cambria Math" w:hAnsi="Cambria Math"/>
            <w:sz w:val="24"/>
            <w:szCs w:val="24"/>
          </w:rPr>
          <m:t>(n</m:t>
        </m:r>
        <m:r>
          <m:rPr>
            <m:sty m:val="p"/>
          </m:rPr>
          <w:rPr>
            <w:rFonts w:ascii="Cambria Math" w:hAnsi="Cambria Math"/>
            <w:sz w:val="24"/>
            <w:szCs w:val="24"/>
          </w:rPr>
          <m:t>=429)</m:t>
        </m:r>
      </m:oMath>
      <w:r w:rsidRPr="00E76122">
        <w:rPr>
          <w:rFonts w:ascii="Times New Roman" w:eastAsiaTheme="minorEastAsia" w:hAnsi="Times New Roman"/>
          <w:iCs/>
          <w:sz w:val="24"/>
          <w:szCs w:val="24"/>
        </w:rPr>
        <w:t xml:space="preserve">, process consistency </w:t>
      </w:r>
      <m:oMath>
        <m:r>
          <w:rPr>
            <w:rFonts w:ascii="Cambria Math" w:hAnsi="Cambria Math"/>
            <w:sz w:val="24"/>
            <w:szCs w:val="24"/>
          </w:rPr>
          <m:t>(</m:t>
        </m:r>
        <m:r>
          <m:rPr>
            <m:sty m:val="p"/>
          </m:rPr>
          <w:rPr>
            <w:rFonts w:ascii="Cambria Math" w:hAnsi="Cambria Math"/>
            <w:sz w:val="24"/>
            <w:szCs w:val="24"/>
          </w:rPr>
          <m:t>H1;</m:t>
        </m:r>
        <m:r>
          <w:rPr>
            <w:rFonts w:ascii="Cambria Math" w:hAnsi="Cambria Math"/>
            <w:sz w:val="24"/>
            <w:szCs w:val="24"/>
          </w:rPr>
          <m:t>β</m:t>
        </m:r>
        <m:r>
          <m:rPr>
            <m:sty m:val="p"/>
          </m:rPr>
          <w:rPr>
            <w:rFonts w:ascii="Cambria Math" w:hAnsi="Cambria Math"/>
            <w:sz w:val="24"/>
            <w:szCs w:val="24"/>
          </w:rPr>
          <m:t xml:space="preserve">=.440, </m:t>
        </m:r>
        <m:r>
          <w:rPr>
            <w:rFonts w:ascii="Cambria Math" w:hAnsi="Cambria Math"/>
            <w:sz w:val="24"/>
            <w:szCs w:val="24"/>
          </w:rPr>
          <m:t>p&lt;.001)</m:t>
        </m:r>
      </m:oMath>
      <w:r w:rsidRPr="00E76122">
        <w:rPr>
          <w:rFonts w:ascii="Times New Roman" w:eastAsiaTheme="minorEastAsia" w:hAnsi="Times New Roman"/>
          <w:sz w:val="24"/>
          <w:szCs w:val="24"/>
        </w:rPr>
        <w:t xml:space="preserve"> and service transparency </w:t>
      </w:r>
      <m:oMath>
        <m:r>
          <w:rPr>
            <w:rFonts w:ascii="Cambria Math" w:hAnsi="Cambria Math"/>
            <w:sz w:val="24"/>
            <w:szCs w:val="24"/>
          </w:rPr>
          <m:t>(</m:t>
        </m:r>
        <m:r>
          <m:rPr>
            <m:sty m:val="p"/>
          </m:rPr>
          <w:rPr>
            <w:rFonts w:ascii="Cambria Math" w:hAnsi="Cambria Math"/>
            <w:sz w:val="24"/>
            <w:szCs w:val="24"/>
          </w:rPr>
          <m:t>H2;</m:t>
        </m:r>
        <m:r>
          <w:rPr>
            <w:rFonts w:ascii="Cambria Math" w:hAnsi="Cambria Math"/>
            <w:sz w:val="24"/>
            <w:szCs w:val="24"/>
          </w:rPr>
          <m:t>β</m:t>
        </m:r>
        <m:r>
          <m:rPr>
            <m:sty m:val="p"/>
          </m:rPr>
          <w:rPr>
            <w:rFonts w:ascii="Cambria Math" w:hAnsi="Cambria Math"/>
            <w:sz w:val="24"/>
            <w:szCs w:val="24"/>
          </w:rPr>
          <m:t xml:space="preserve">=.546, </m:t>
        </m:r>
        <m:r>
          <w:rPr>
            <w:rFonts w:ascii="Cambria Math" w:hAnsi="Cambria Math"/>
            <w:sz w:val="24"/>
            <w:szCs w:val="24"/>
          </w:rPr>
          <m:t>p&lt;.001)</m:t>
        </m:r>
      </m:oMath>
      <w:r w:rsidRPr="00E76122">
        <w:rPr>
          <w:rFonts w:ascii="Times New Roman" w:eastAsiaTheme="minorEastAsia" w:hAnsi="Times New Roman"/>
          <w:sz w:val="24"/>
          <w:szCs w:val="24"/>
        </w:rPr>
        <w:t xml:space="preserve"> </w:t>
      </w:r>
      <w:r w:rsidRPr="00E76122">
        <w:rPr>
          <w:rFonts w:ascii="Times New Roman" w:eastAsiaTheme="minorEastAsia" w:hAnsi="Times New Roman"/>
          <w:iCs/>
          <w:sz w:val="24"/>
          <w:szCs w:val="24"/>
        </w:rPr>
        <w:t>had a positive effect on flow, therefore, supporting H1 and H2</w:t>
      </w:r>
      <w:r w:rsidRPr="00E76122">
        <w:rPr>
          <w:rFonts w:ascii="Times New Roman" w:eastAsiaTheme="minorEastAsia" w:hAnsi="Times New Roman"/>
          <w:sz w:val="24"/>
          <w:szCs w:val="24"/>
        </w:rPr>
        <w:t xml:space="preserve">. Flow has a direct effect on trust </w:t>
      </w:r>
      <m:oMath>
        <m:r>
          <w:rPr>
            <w:rFonts w:ascii="Cambria Math" w:hAnsi="Cambria Math"/>
            <w:sz w:val="24"/>
            <w:szCs w:val="24"/>
          </w:rPr>
          <m:t>(</m:t>
        </m:r>
        <m:r>
          <m:rPr>
            <m:sty m:val="p"/>
          </m:rPr>
          <w:rPr>
            <w:rFonts w:ascii="Cambria Math" w:hAnsi="Cambria Math"/>
            <w:sz w:val="24"/>
            <w:szCs w:val="24"/>
          </w:rPr>
          <m:t>H3;</m:t>
        </m:r>
        <m:r>
          <w:rPr>
            <w:rFonts w:ascii="Cambria Math" w:hAnsi="Cambria Math"/>
            <w:sz w:val="24"/>
            <w:szCs w:val="24"/>
          </w:rPr>
          <m:t>β</m:t>
        </m:r>
        <m:r>
          <m:rPr>
            <m:sty m:val="p"/>
          </m:rPr>
          <w:rPr>
            <w:rFonts w:ascii="Cambria Math" w:hAnsi="Cambria Math"/>
            <w:sz w:val="24"/>
            <w:szCs w:val="24"/>
          </w:rPr>
          <m:t xml:space="preserve">=.758, </m:t>
        </m:r>
        <m:r>
          <w:rPr>
            <w:rFonts w:ascii="Cambria Math" w:hAnsi="Cambria Math"/>
            <w:sz w:val="24"/>
            <w:szCs w:val="24"/>
          </w:rPr>
          <m:t>p&lt;.001)</m:t>
        </m:r>
      </m:oMath>
      <w:r w:rsidRPr="00E76122">
        <w:rPr>
          <w:rFonts w:ascii="Times New Roman" w:eastAsiaTheme="minorEastAsia" w:hAnsi="Times New Roman"/>
          <w:sz w:val="24"/>
          <w:szCs w:val="24"/>
        </w:rPr>
        <w:t xml:space="preserve"> </w:t>
      </w:r>
      <w:r w:rsidR="00163296" w:rsidRPr="00163296">
        <w:rPr>
          <w:rFonts w:ascii="Times New Roman" w:eastAsiaTheme="minorEastAsia" w:hAnsi="Times New Roman"/>
          <w:sz w:val="24"/>
          <w:szCs w:val="24"/>
        </w:rPr>
        <w:t xml:space="preserve">Flow has a positive effect on purchase intention (H4; </w:t>
      </w:r>
      <w:r w:rsidR="00163296" w:rsidRPr="00163296">
        <w:rPr>
          <w:rFonts w:ascii="Cambria Math" w:eastAsiaTheme="minorEastAsia" w:hAnsi="Cambria Math" w:cs="Cambria Math"/>
          <w:sz w:val="24"/>
          <w:szCs w:val="24"/>
        </w:rPr>
        <w:t>𝛽</w:t>
      </w:r>
      <w:r w:rsidR="00163296" w:rsidRPr="00163296">
        <w:rPr>
          <w:rFonts w:ascii="Times New Roman" w:eastAsiaTheme="minorEastAsia" w:hAnsi="Times New Roman"/>
          <w:sz w:val="24"/>
          <w:szCs w:val="24"/>
        </w:rPr>
        <w:t xml:space="preserve"> = .935, </w:t>
      </w:r>
      <w:r w:rsidR="00163296" w:rsidRPr="00163296">
        <w:rPr>
          <w:rFonts w:ascii="Cambria Math" w:eastAsiaTheme="minorEastAsia" w:hAnsi="Cambria Math" w:cs="Cambria Math"/>
          <w:sz w:val="24"/>
          <w:szCs w:val="24"/>
        </w:rPr>
        <w:t>𝑝</w:t>
      </w:r>
      <w:r w:rsidR="00163296" w:rsidRPr="00163296">
        <w:rPr>
          <w:rFonts w:ascii="Times New Roman" w:eastAsiaTheme="minorEastAsia" w:hAnsi="Times New Roman"/>
          <w:sz w:val="24"/>
          <w:szCs w:val="24"/>
        </w:rPr>
        <w:t xml:space="preserve"> &lt; .001), supporting H4</w:t>
      </w:r>
      <w:r w:rsidR="00163296">
        <w:rPr>
          <w:rFonts w:ascii="Times New Roman" w:eastAsiaTheme="minorEastAsia" w:hAnsi="Times New Roman"/>
          <w:sz w:val="24"/>
          <w:szCs w:val="24"/>
        </w:rPr>
        <w:t xml:space="preserve">. </w:t>
      </w:r>
      <w:r w:rsidRPr="00E76122">
        <w:rPr>
          <w:rFonts w:ascii="Times New Roman" w:eastAsiaTheme="minorEastAsia" w:hAnsi="Times New Roman"/>
          <w:sz w:val="24"/>
          <w:szCs w:val="24"/>
        </w:rPr>
        <w:t xml:space="preserve">However, flow had no significant indirect effect through trust </w:t>
      </w:r>
      <m:oMath>
        <m:r>
          <w:rPr>
            <w:rFonts w:ascii="Cambria Math" w:hAnsi="Cambria Math"/>
            <w:sz w:val="24"/>
            <w:szCs w:val="24"/>
          </w:rPr>
          <m:t>(</m:t>
        </m:r>
        <m:r>
          <m:rPr>
            <m:sty m:val="p"/>
          </m:rPr>
          <w:rPr>
            <w:rFonts w:ascii="Cambria Math" w:hAnsi="Cambria Math"/>
            <w:sz w:val="24"/>
            <w:szCs w:val="24"/>
          </w:rPr>
          <m:t>H5;</m:t>
        </m:r>
        <m:r>
          <w:rPr>
            <w:rFonts w:ascii="Cambria Math" w:hAnsi="Cambria Math"/>
            <w:sz w:val="24"/>
            <w:szCs w:val="24"/>
          </w:rPr>
          <m:t>β</m:t>
        </m:r>
        <m:r>
          <m:rPr>
            <m:sty m:val="p"/>
          </m:rPr>
          <w:rPr>
            <w:rFonts w:ascii="Cambria Math" w:hAnsi="Cambria Math"/>
            <w:sz w:val="24"/>
            <w:szCs w:val="24"/>
          </w:rPr>
          <m:t xml:space="preserve">=-.075, </m:t>
        </m:r>
        <m:r>
          <w:rPr>
            <w:rFonts w:ascii="Cambria Math" w:hAnsi="Cambria Math"/>
            <w:sz w:val="24"/>
            <w:szCs w:val="24"/>
          </w:rPr>
          <m:t>p&lt;.001)</m:t>
        </m:r>
      </m:oMath>
      <w:r w:rsidRPr="00E76122">
        <w:rPr>
          <w:rFonts w:ascii="Times New Roman" w:eastAsiaTheme="minorEastAsia" w:hAnsi="Times New Roman"/>
          <w:sz w:val="24"/>
          <w:szCs w:val="24"/>
        </w:rPr>
        <w:t>, thus H5 was not supported in our model.</w:t>
      </w:r>
    </w:p>
    <w:p w14:paraId="18A72F7B" w14:textId="77777777" w:rsidR="00FD1D82" w:rsidRPr="00E76122" w:rsidRDefault="00FD1D82" w:rsidP="00FD1D82">
      <w:pPr>
        <w:spacing w:after="0" w:line="240" w:lineRule="auto"/>
        <w:rPr>
          <w:rFonts w:ascii="Times New Roman" w:eastAsiaTheme="minorEastAsia" w:hAnsi="Times New Roman"/>
          <w:sz w:val="24"/>
          <w:szCs w:val="24"/>
        </w:rPr>
      </w:pPr>
    </w:p>
    <w:p w14:paraId="44B0E770" w14:textId="77777777" w:rsidR="00AE033F" w:rsidRPr="00AE033F" w:rsidRDefault="00AE033F" w:rsidP="00FD1D82">
      <w:pPr>
        <w:spacing w:after="0" w:line="240" w:lineRule="auto"/>
        <w:jc w:val="center"/>
        <w:rPr>
          <w:rFonts w:ascii="Times New Roman" w:eastAsiaTheme="minorEastAsia" w:hAnsi="Times New Roman"/>
          <w:b/>
          <w:bCs/>
          <w:sz w:val="24"/>
          <w:szCs w:val="24"/>
        </w:rPr>
      </w:pPr>
      <w:r w:rsidRPr="00AE033F">
        <w:rPr>
          <w:rFonts w:ascii="Times New Roman" w:eastAsiaTheme="minorEastAsia" w:hAnsi="Times New Roman"/>
          <w:b/>
          <w:bCs/>
          <w:sz w:val="24"/>
          <w:szCs w:val="24"/>
        </w:rPr>
        <w:t>Discussion and implications</w:t>
      </w:r>
    </w:p>
    <w:p w14:paraId="51AB83C9" w14:textId="77777777" w:rsidR="00AE033F" w:rsidRPr="00E76122" w:rsidRDefault="00AE033F" w:rsidP="00FD1D82">
      <w:pPr>
        <w:spacing w:after="0" w:line="240" w:lineRule="auto"/>
        <w:rPr>
          <w:rFonts w:ascii="Times New Roman" w:eastAsiaTheme="minorEastAsia" w:hAnsi="Times New Roman"/>
          <w:sz w:val="24"/>
          <w:szCs w:val="24"/>
        </w:rPr>
      </w:pPr>
      <w:r w:rsidRPr="00E76122">
        <w:rPr>
          <w:rFonts w:ascii="Times New Roman" w:eastAsiaTheme="minorEastAsia" w:hAnsi="Times New Roman"/>
          <w:sz w:val="24"/>
          <w:szCs w:val="24"/>
        </w:rPr>
        <w:tab/>
        <w:t xml:space="preserve">Findings reveal that </w:t>
      </w:r>
      <w:r>
        <w:rPr>
          <w:rFonts w:ascii="Times New Roman" w:eastAsiaTheme="minorEastAsia" w:hAnsi="Times New Roman"/>
          <w:sz w:val="24"/>
          <w:szCs w:val="24"/>
        </w:rPr>
        <w:t>service</w:t>
      </w:r>
      <w:r w:rsidRPr="00E76122">
        <w:rPr>
          <w:rFonts w:ascii="Times New Roman" w:eastAsiaTheme="minorEastAsia" w:hAnsi="Times New Roman"/>
          <w:sz w:val="24"/>
          <w:szCs w:val="24"/>
        </w:rPr>
        <w:t xml:space="preserve"> consistency and service transparency ha</w:t>
      </w:r>
      <w:r>
        <w:rPr>
          <w:rFonts w:ascii="Times New Roman" w:eastAsiaTheme="minorEastAsia" w:hAnsi="Times New Roman"/>
          <w:sz w:val="24"/>
          <w:szCs w:val="24"/>
        </w:rPr>
        <w:t>d</w:t>
      </w:r>
      <w:r w:rsidRPr="00E76122">
        <w:rPr>
          <w:rFonts w:ascii="Times New Roman" w:eastAsiaTheme="minorEastAsia" w:hAnsi="Times New Roman"/>
          <w:sz w:val="24"/>
          <w:szCs w:val="24"/>
        </w:rPr>
        <w:t xml:space="preserve"> a positive effect on customers’ experience. Thus, we suggest that omnichannel beauty retailers focus on the process features across the different channels and increasing customers’ familiarity with the different attributes on each channel. With having a positive customer experience using the different channels, the likelihood of a customer purchasing from the intended omnichannel beauty retailer will increase. Although our study did not find that trust </w:t>
      </w:r>
      <w:r>
        <w:rPr>
          <w:rFonts w:ascii="Times New Roman" w:eastAsiaTheme="minorEastAsia" w:hAnsi="Times New Roman"/>
          <w:sz w:val="24"/>
          <w:szCs w:val="24"/>
        </w:rPr>
        <w:t xml:space="preserve">directly relates to customers’ purchase </w:t>
      </w:r>
      <w:r>
        <w:rPr>
          <w:rFonts w:ascii="Times New Roman" w:eastAsiaTheme="minorEastAsia" w:hAnsi="Times New Roman"/>
          <w:sz w:val="24"/>
          <w:szCs w:val="24"/>
        </w:rPr>
        <w:lastRenderedPageBreak/>
        <w:t>intention, we suggest that omnichannel beauty retailers focus on building the trust that customers have</w:t>
      </w:r>
      <w:r w:rsidRPr="00E76122">
        <w:rPr>
          <w:rFonts w:ascii="Times New Roman" w:eastAsiaTheme="minorEastAsia" w:hAnsi="Times New Roman"/>
          <w:sz w:val="24"/>
          <w:szCs w:val="24"/>
        </w:rPr>
        <w:t xml:space="preserve"> </w:t>
      </w:r>
      <w:r>
        <w:rPr>
          <w:rFonts w:ascii="Times New Roman" w:eastAsiaTheme="minorEastAsia" w:hAnsi="Times New Roman"/>
          <w:sz w:val="24"/>
          <w:szCs w:val="24"/>
        </w:rPr>
        <w:t>with</w:t>
      </w:r>
      <w:r w:rsidRPr="00E76122">
        <w:rPr>
          <w:rFonts w:ascii="Times New Roman" w:eastAsiaTheme="minorEastAsia" w:hAnsi="Times New Roman"/>
          <w:sz w:val="24"/>
          <w:szCs w:val="24"/>
        </w:rPr>
        <w:t xml:space="preserve"> their </w:t>
      </w:r>
      <w:r>
        <w:rPr>
          <w:rFonts w:ascii="Times New Roman" w:eastAsiaTheme="minorEastAsia" w:hAnsi="Times New Roman"/>
          <w:sz w:val="24"/>
          <w:szCs w:val="24"/>
        </w:rPr>
        <w:t xml:space="preserve">online </w:t>
      </w:r>
      <w:r w:rsidRPr="00E76122">
        <w:rPr>
          <w:rFonts w:ascii="Times New Roman" w:eastAsiaTheme="minorEastAsia" w:hAnsi="Times New Roman"/>
          <w:sz w:val="24"/>
          <w:szCs w:val="24"/>
        </w:rPr>
        <w:t>channel</w:t>
      </w:r>
      <w:r>
        <w:rPr>
          <w:rFonts w:ascii="Times New Roman" w:eastAsiaTheme="minorEastAsia" w:hAnsi="Times New Roman"/>
          <w:sz w:val="24"/>
          <w:szCs w:val="24"/>
        </w:rPr>
        <w:t>s</w:t>
      </w:r>
      <w:r w:rsidRPr="00E76122">
        <w:rPr>
          <w:rFonts w:ascii="Times New Roman" w:eastAsiaTheme="minorEastAsia" w:hAnsi="Times New Roman"/>
          <w:sz w:val="24"/>
          <w:szCs w:val="24"/>
        </w:rPr>
        <w:t>. Trust in previous research studies has been found to increase brand image. Hence, it is possible that by building customers’ trust, the customer will remember the retailer in the future. Lastly, we suggest including brand image in future studies to examine the possible relationship between customers’ trust and omnichannel beauty retailer’s brand image that can increase customers’ purchase intention.</w:t>
      </w:r>
    </w:p>
    <w:p w14:paraId="3BEB9687" w14:textId="77777777" w:rsidR="00AE033F" w:rsidRPr="00E76122" w:rsidRDefault="00AE033F" w:rsidP="00AE033F">
      <w:pPr>
        <w:spacing w:after="0" w:line="240" w:lineRule="auto"/>
        <w:rPr>
          <w:rFonts w:ascii="Times New Roman" w:eastAsiaTheme="minorEastAsia" w:hAnsi="Times New Roman"/>
          <w:sz w:val="24"/>
          <w:szCs w:val="24"/>
        </w:rPr>
      </w:pPr>
    </w:p>
    <w:p w14:paraId="429CBCE1" w14:textId="77777777" w:rsidR="00AE033F" w:rsidRPr="00AE033F" w:rsidRDefault="00AE033F" w:rsidP="00AE033F">
      <w:pPr>
        <w:spacing w:after="120" w:line="240" w:lineRule="auto"/>
        <w:jc w:val="center"/>
        <w:rPr>
          <w:rFonts w:ascii="Times New Roman" w:eastAsiaTheme="minorEastAsia" w:hAnsi="Times New Roman"/>
          <w:b/>
          <w:bCs/>
          <w:sz w:val="24"/>
          <w:szCs w:val="24"/>
        </w:rPr>
      </w:pPr>
      <w:r w:rsidRPr="00AE033F">
        <w:rPr>
          <w:rFonts w:ascii="Times New Roman" w:eastAsiaTheme="minorEastAsia" w:hAnsi="Times New Roman"/>
          <w:b/>
          <w:bCs/>
          <w:sz w:val="24"/>
          <w:szCs w:val="24"/>
        </w:rPr>
        <w:t>References</w:t>
      </w:r>
    </w:p>
    <w:p w14:paraId="1206CCF2" w14:textId="77777777" w:rsidR="00AE033F" w:rsidRPr="00E76122" w:rsidRDefault="00AE033F" w:rsidP="00AE033F">
      <w:pPr>
        <w:spacing w:after="40" w:line="240" w:lineRule="auto"/>
        <w:ind w:left="720" w:hanging="720"/>
        <w:rPr>
          <w:rFonts w:ascii="Times New Roman" w:hAnsi="Times New Roman"/>
          <w:bCs/>
          <w:sz w:val="24"/>
          <w:szCs w:val="24"/>
          <w:highlight w:val="white"/>
        </w:rPr>
      </w:pPr>
      <w:r w:rsidRPr="00E76122">
        <w:rPr>
          <w:rFonts w:ascii="Times New Roman" w:hAnsi="Times New Roman"/>
          <w:bCs/>
          <w:sz w:val="24"/>
          <w:szCs w:val="24"/>
        </w:rPr>
        <w:t xml:space="preserve">Ajzen, I., &amp; </w:t>
      </w:r>
      <w:proofErr w:type="spellStart"/>
      <w:r w:rsidRPr="00E76122">
        <w:rPr>
          <w:rFonts w:ascii="Times New Roman" w:hAnsi="Times New Roman"/>
          <w:bCs/>
          <w:sz w:val="24"/>
          <w:szCs w:val="24"/>
        </w:rPr>
        <w:t>Kruglanski</w:t>
      </w:r>
      <w:proofErr w:type="spellEnd"/>
      <w:r w:rsidRPr="00E76122">
        <w:rPr>
          <w:rFonts w:ascii="Times New Roman" w:hAnsi="Times New Roman"/>
          <w:bCs/>
          <w:sz w:val="24"/>
          <w:szCs w:val="24"/>
        </w:rPr>
        <w:t xml:space="preserve">, A. W. (2019). Reasoned action in the service of goal pursuit. </w:t>
      </w:r>
      <w:r w:rsidRPr="00E76122">
        <w:rPr>
          <w:rFonts w:ascii="Times New Roman" w:hAnsi="Times New Roman"/>
          <w:bCs/>
          <w:i/>
          <w:iCs/>
          <w:sz w:val="24"/>
          <w:szCs w:val="24"/>
        </w:rPr>
        <w:t>Psychological Review, 126</w:t>
      </w:r>
      <w:r w:rsidRPr="00E76122">
        <w:rPr>
          <w:rFonts w:ascii="Times New Roman" w:hAnsi="Times New Roman"/>
          <w:bCs/>
          <w:sz w:val="24"/>
          <w:szCs w:val="24"/>
        </w:rPr>
        <w:t>(5), 774–786.</w:t>
      </w:r>
    </w:p>
    <w:p w14:paraId="29F12526" w14:textId="77777777" w:rsidR="00AE033F" w:rsidRPr="00E76122" w:rsidRDefault="00AE033F" w:rsidP="00AE033F">
      <w:pPr>
        <w:spacing w:after="40" w:line="240" w:lineRule="auto"/>
        <w:ind w:left="720" w:hanging="720"/>
        <w:rPr>
          <w:rFonts w:ascii="Times New Roman" w:hAnsi="Times New Roman"/>
          <w:sz w:val="24"/>
          <w:szCs w:val="24"/>
        </w:rPr>
      </w:pPr>
      <w:r w:rsidRPr="00E76122">
        <w:rPr>
          <w:rFonts w:ascii="Times New Roman" w:hAnsi="Times New Roman"/>
          <w:sz w:val="24"/>
          <w:szCs w:val="24"/>
        </w:rPr>
        <w:t xml:space="preserve">Fishbein, M., &amp; Ajzen, I. (1975). </w:t>
      </w:r>
      <w:r w:rsidRPr="00E76122">
        <w:rPr>
          <w:rFonts w:ascii="Times New Roman" w:hAnsi="Times New Roman"/>
          <w:i/>
          <w:iCs/>
          <w:sz w:val="24"/>
          <w:szCs w:val="24"/>
        </w:rPr>
        <w:t>Belief, attitude, intention, and behavior: An introduction to theory and research.</w:t>
      </w:r>
      <w:r w:rsidRPr="00E76122">
        <w:rPr>
          <w:rFonts w:ascii="Times New Roman" w:hAnsi="Times New Roman"/>
          <w:sz w:val="24"/>
          <w:szCs w:val="24"/>
        </w:rPr>
        <w:t xml:space="preserve"> Addison-Wesley Pub. Co.</w:t>
      </w:r>
    </w:p>
    <w:p w14:paraId="232AF65A" w14:textId="77777777" w:rsidR="00AE033F" w:rsidRPr="00E76122" w:rsidRDefault="00AE033F" w:rsidP="00AE033F">
      <w:pPr>
        <w:pStyle w:val="NormalWeb"/>
        <w:spacing w:before="0" w:beforeAutospacing="0" w:after="40" w:afterAutospacing="0"/>
        <w:ind w:left="720" w:hanging="720"/>
        <w:rPr>
          <w:color w:val="000000"/>
        </w:rPr>
      </w:pPr>
      <w:proofErr w:type="spellStart"/>
      <w:r w:rsidRPr="00E76122">
        <w:rPr>
          <w:color w:val="000000"/>
        </w:rPr>
        <w:t>Gerstell</w:t>
      </w:r>
      <w:proofErr w:type="spellEnd"/>
      <w:r w:rsidRPr="00E76122">
        <w:rPr>
          <w:color w:val="000000"/>
        </w:rPr>
        <w:t xml:space="preserve">, E., </w:t>
      </w:r>
      <w:proofErr w:type="spellStart"/>
      <w:r w:rsidRPr="00E76122">
        <w:rPr>
          <w:color w:val="000000"/>
        </w:rPr>
        <w:t>Marchessou</w:t>
      </w:r>
      <w:proofErr w:type="spellEnd"/>
      <w:r w:rsidRPr="00E76122">
        <w:rPr>
          <w:color w:val="000000"/>
        </w:rPr>
        <w:t xml:space="preserve">, S., Schmidt, J., &amp; Spagnuolo, E. (2020). </w:t>
      </w:r>
      <w:r w:rsidRPr="00F802D4">
        <w:rPr>
          <w:i/>
          <w:iCs/>
          <w:color w:val="000000"/>
        </w:rPr>
        <w:t>How COVID-19 is changing the world of beauty.</w:t>
      </w:r>
      <w:r w:rsidRPr="00E76122">
        <w:rPr>
          <w:color w:val="000000"/>
        </w:rPr>
        <w:t xml:space="preserve"> </w:t>
      </w:r>
      <w:r>
        <w:rPr>
          <w:color w:val="000000"/>
        </w:rPr>
        <w:t xml:space="preserve">McKinsey and Company. </w:t>
      </w:r>
      <w:r w:rsidRPr="00E76122">
        <w:rPr>
          <w:color w:val="000000"/>
        </w:rPr>
        <w:t>Retrieved April 10, 2021, from https://www.mckinsey.com/~/media/McKinsey/Industries/Consumer%20Packaged%20Goods/Our%20Insights/How%20COVID%2019%20is%20changing%20the%20world%20of%20beauty/How-COVID-19-is-changing-the-world-of-beauty-vF.pdf</w:t>
      </w:r>
    </w:p>
    <w:p w14:paraId="381AFC9C" w14:textId="77777777" w:rsidR="00AE033F" w:rsidRPr="00E76122" w:rsidRDefault="00AE033F" w:rsidP="00AE033F">
      <w:pPr>
        <w:pStyle w:val="NormalWeb"/>
        <w:spacing w:before="0" w:beforeAutospacing="0" w:after="40" w:afterAutospacing="0"/>
        <w:ind w:left="720" w:hanging="720"/>
        <w:rPr>
          <w:color w:val="000000" w:themeColor="text1"/>
        </w:rPr>
      </w:pPr>
      <w:r w:rsidRPr="00E76122">
        <w:rPr>
          <w:highlight w:val="white"/>
          <w:lang w:val="en"/>
        </w:rPr>
        <w:t xml:space="preserve">Lee, Z. W. Y., Chan, T. K. H., Chong, A. Y. L., &amp; Thadani, D. R. (2019). Customer engagement through omnichannel retailing: The effects of channel integration quality. </w:t>
      </w:r>
      <w:r w:rsidRPr="00E76122">
        <w:rPr>
          <w:i/>
          <w:highlight w:val="white"/>
          <w:lang w:val="en"/>
        </w:rPr>
        <w:t xml:space="preserve">Industrial Marketing Management, 77, </w:t>
      </w:r>
      <w:r w:rsidRPr="00E76122">
        <w:rPr>
          <w:highlight w:val="white"/>
          <w:lang w:val="en"/>
        </w:rPr>
        <w:t>90–101.</w:t>
      </w:r>
      <w:r w:rsidRPr="00E76122">
        <w:rPr>
          <w:lang w:val="en"/>
        </w:rPr>
        <w:t xml:space="preserve"> </w:t>
      </w:r>
    </w:p>
    <w:p w14:paraId="7E59C1C9" w14:textId="77777777" w:rsidR="00AE033F" w:rsidRPr="00E76122" w:rsidRDefault="00AE033F" w:rsidP="00AE033F">
      <w:pPr>
        <w:pStyle w:val="NormalWeb"/>
        <w:spacing w:before="0" w:beforeAutospacing="0" w:after="40" w:afterAutospacing="0"/>
        <w:ind w:left="720" w:hanging="720"/>
        <w:rPr>
          <w:color w:val="000000" w:themeColor="text1"/>
        </w:rPr>
      </w:pPr>
      <w:r w:rsidRPr="00E76122">
        <w:rPr>
          <w:color w:val="000000" w:themeColor="text1"/>
        </w:rPr>
        <w:t xml:space="preserve">Lu, L. C., Chang, W. P., &amp; Chang, H. H. (2014). Consumer attitudes toward blogger’s sponsored recommendations and purchase intention: The effect of sponsorship type, product type, and brand awareness. </w:t>
      </w:r>
      <w:r w:rsidRPr="00E76122">
        <w:rPr>
          <w:i/>
          <w:iCs/>
          <w:color w:val="000000" w:themeColor="text1"/>
        </w:rPr>
        <w:t>Computers in Human Behavior, 34</w:t>
      </w:r>
      <w:r w:rsidRPr="00E76122">
        <w:rPr>
          <w:color w:val="000000" w:themeColor="text1"/>
        </w:rPr>
        <w:t>, 258–266.</w:t>
      </w:r>
    </w:p>
    <w:p w14:paraId="546C4969" w14:textId="77777777" w:rsidR="00AE033F" w:rsidRPr="00E76122" w:rsidRDefault="00AE033F" w:rsidP="00AE033F">
      <w:pPr>
        <w:pStyle w:val="NormalWeb"/>
        <w:spacing w:before="0" w:beforeAutospacing="0" w:after="40" w:afterAutospacing="0"/>
        <w:ind w:left="720" w:hanging="720"/>
        <w:rPr>
          <w:rFonts w:eastAsiaTheme="minorEastAsia"/>
        </w:rPr>
      </w:pPr>
      <w:r w:rsidRPr="00E76122">
        <w:rPr>
          <w:rFonts w:eastAsiaTheme="minorEastAsia"/>
        </w:rPr>
        <w:t xml:space="preserve">Morgan, R., &amp; Hunt, S. (1994). The </w:t>
      </w:r>
      <w:r>
        <w:rPr>
          <w:rFonts w:eastAsiaTheme="minorEastAsia"/>
        </w:rPr>
        <w:t>c</w:t>
      </w:r>
      <w:r w:rsidRPr="00E76122">
        <w:rPr>
          <w:rFonts w:eastAsiaTheme="minorEastAsia"/>
        </w:rPr>
        <w:t>ommitment-</w:t>
      </w:r>
      <w:r>
        <w:rPr>
          <w:rFonts w:eastAsiaTheme="minorEastAsia"/>
        </w:rPr>
        <w:t>t</w:t>
      </w:r>
      <w:r w:rsidRPr="00E76122">
        <w:rPr>
          <w:rFonts w:eastAsiaTheme="minorEastAsia"/>
        </w:rPr>
        <w:t xml:space="preserve">rust </w:t>
      </w:r>
      <w:r>
        <w:rPr>
          <w:rFonts w:eastAsiaTheme="minorEastAsia"/>
        </w:rPr>
        <w:t>t</w:t>
      </w:r>
      <w:r w:rsidRPr="00E76122">
        <w:rPr>
          <w:rFonts w:eastAsiaTheme="minorEastAsia"/>
        </w:rPr>
        <w:t xml:space="preserve">heory of </w:t>
      </w:r>
      <w:r>
        <w:rPr>
          <w:rFonts w:eastAsiaTheme="minorEastAsia"/>
        </w:rPr>
        <w:t>r</w:t>
      </w:r>
      <w:r w:rsidRPr="00E76122">
        <w:rPr>
          <w:rFonts w:eastAsiaTheme="minorEastAsia"/>
        </w:rPr>
        <w:t xml:space="preserve">elationship </w:t>
      </w:r>
      <w:r>
        <w:rPr>
          <w:rFonts w:eastAsiaTheme="minorEastAsia"/>
        </w:rPr>
        <w:t>m</w:t>
      </w:r>
      <w:r w:rsidRPr="00E76122">
        <w:rPr>
          <w:rFonts w:eastAsiaTheme="minorEastAsia"/>
        </w:rPr>
        <w:t xml:space="preserve">arketing. </w:t>
      </w:r>
      <w:r w:rsidRPr="00E76122">
        <w:rPr>
          <w:rFonts w:eastAsiaTheme="minorEastAsia"/>
          <w:i/>
          <w:iCs/>
        </w:rPr>
        <w:t>Journal of Marketing, 58</w:t>
      </w:r>
      <w:r w:rsidRPr="00E76122">
        <w:rPr>
          <w:rFonts w:eastAsiaTheme="minorEastAsia"/>
        </w:rPr>
        <w:t>, 20–38.</w:t>
      </w:r>
    </w:p>
    <w:p w14:paraId="594911B1" w14:textId="77777777" w:rsidR="00AE033F" w:rsidRPr="00E76122" w:rsidRDefault="00AE033F" w:rsidP="00AE033F">
      <w:pPr>
        <w:pStyle w:val="NormalWeb"/>
        <w:spacing w:before="0" w:beforeAutospacing="0" w:after="40" w:afterAutospacing="0"/>
        <w:ind w:left="720" w:hanging="720"/>
        <w:rPr>
          <w:rFonts w:eastAsiaTheme="minorEastAsia"/>
        </w:rPr>
      </w:pPr>
      <w:r w:rsidRPr="00E76122">
        <w:rPr>
          <w:rFonts w:eastAsiaTheme="minorEastAsia"/>
        </w:rPr>
        <w:t xml:space="preserve">Paul, J., Modi, A., &amp; Patel, J. (2016). Predicting green product consumption using theory of planned behavior and reasoned action. </w:t>
      </w:r>
      <w:r w:rsidRPr="00E76122">
        <w:rPr>
          <w:rFonts w:eastAsiaTheme="minorEastAsia"/>
          <w:i/>
          <w:iCs/>
        </w:rPr>
        <w:t>Journal of Retailing and Consumer Services, 29</w:t>
      </w:r>
      <w:r w:rsidRPr="00E76122">
        <w:rPr>
          <w:rFonts w:eastAsiaTheme="minorEastAsia"/>
        </w:rPr>
        <w:t>, 123–134.</w:t>
      </w:r>
    </w:p>
    <w:p w14:paraId="63389741" w14:textId="77777777" w:rsidR="00AE033F" w:rsidRPr="00E76122" w:rsidRDefault="00AE033F" w:rsidP="00AE033F">
      <w:pPr>
        <w:pStyle w:val="NormalWeb"/>
        <w:spacing w:before="0" w:beforeAutospacing="0" w:after="40" w:afterAutospacing="0"/>
        <w:ind w:left="720" w:hanging="720"/>
        <w:rPr>
          <w:rFonts w:eastAsiaTheme="minorEastAsia"/>
        </w:rPr>
      </w:pPr>
      <w:proofErr w:type="spellStart"/>
      <w:r w:rsidRPr="00E76122">
        <w:rPr>
          <w:rFonts w:eastAsiaTheme="minorEastAsia"/>
        </w:rPr>
        <w:t>Pikoos</w:t>
      </w:r>
      <w:proofErr w:type="spellEnd"/>
      <w:r w:rsidRPr="00E76122">
        <w:rPr>
          <w:rFonts w:eastAsiaTheme="minorEastAsia"/>
        </w:rPr>
        <w:t xml:space="preserve">, T. D., </w:t>
      </w:r>
      <w:proofErr w:type="spellStart"/>
      <w:r w:rsidRPr="00E76122">
        <w:rPr>
          <w:rFonts w:eastAsiaTheme="minorEastAsia"/>
        </w:rPr>
        <w:t>Buzwell</w:t>
      </w:r>
      <w:proofErr w:type="spellEnd"/>
      <w:r w:rsidRPr="00E76122">
        <w:rPr>
          <w:rFonts w:eastAsiaTheme="minorEastAsia"/>
        </w:rPr>
        <w:t xml:space="preserve">, S., Sharp, G., &amp; </w:t>
      </w:r>
      <w:proofErr w:type="spellStart"/>
      <w:r w:rsidRPr="00E76122">
        <w:rPr>
          <w:rFonts w:eastAsiaTheme="minorEastAsia"/>
        </w:rPr>
        <w:t>Rossell</w:t>
      </w:r>
      <w:proofErr w:type="spellEnd"/>
      <w:r w:rsidRPr="00E76122">
        <w:rPr>
          <w:rFonts w:eastAsiaTheme="minorEastAsia"/>
        </w:rPr>
        <w:t>, S. L. (2020). The COVID-19 pandemic: Psychological and behavioral responses to the shutdown of the beauty industry. International Journal of Eating Disorders, 53(12), 1993–2002.</w:t>
      </w:r>
    </w:p>
    <w:p w14:paraId="0D0F7E4B" w14:textId="77777777" w:rsidR="00AE033F" w:rsidRPr="00E76122" w:rsidRDefault="00AE033F" w:rsidP="00AE033F">
      <w:pPr>
        <w:spacing w:after="40" w:line="240" w:lineRule="auto"/>
        <w:ind w:left="720" w:hanging="720"/>
        <w:rPr>
          <w:rFonts w:ascii="Times New Roman" w:hAnsi="Times New Roman"/>
          <w:sz w:val="24"/>
          <w:szCs w:val="24"/>
        </w:rPr>
      </w:pPr>
      <w:r w:rsidRPr="00E76122">
        <w:rPr>
          <w:rFonts w:ascii="Times New Roman" w:hAnsi="Times New Roman"/>
          <w:sz w:val="24"/>
          <w:szCs w:val="24"/>
        </w:rPr>
        <w:t xml:space="preserve">Quach, S., </w:t>
      </w:r>
      <w:proofErr w:type="spellStart"/>
      <w:r w:rsidRPr="00E76122">
        <w:rPr>
          <w:rFonts w:ascii="Times New Roman" w:hAnsi="Times New Roman"/>
          <w:sz w:val="24"/>
          <w:szCs w:val="24"/>
        </w:rPr>
        <w:t>Barari</w:t>
      </w:r>
      <w:proofErr w:type="spellEnd"/>
      <w:r w:rsidRPr="00E76122">
        <w:rPr>
          <w:rFonts w:ascii="Times New Roman" w:hAnsi="Times New Roman"/>
          <w:sz w:val="24"/>
          <w:szCs w:val="24"/>
        </w:rPr>
        <w:t xml:space="preserve">, M., </w:t>
      </w:r>
      <w:proofErr w:type="spellStart"/>
      <w:r w:rsidRPr="00E76122">
        <w:rPr>
          <w:rFonts w:ascii="Times New Roman" w:hAnsi="Times New Roman"/>
          <w:sz w:val="24"/>
          <w:szCs w:val="24"/>
        </w:rPr>
        <w:t>Moudrý</w:t>
      </w:r>
      <w:proofErr w:type="spellEnd"/>
      <w:r w:rsidRPr="00E76122">
        <w:rPr>
          <w:rFonts w:ascii="Times New Roman" w:hAnsi="Times New Roman"/>
          <w:sz w:val="24"/>
          <w:szCs w:val="24"/>
        </w:rPr>
        <w:t xml:space="preserve">, D. V., &amp; Quach, K. (2020). Service integration in omnichannel retailing and its impact on customer experience. </w:t>
      </w:r>
      <w:r w:rsidRPr="00E76122">
        <w:rPr>
          <w:rFonts w:ascii="Times New Roman" w:hAnsi="Times New Roman"/>
          <w:i/>
          <w:iCs/>
          <w:sz w:val="24"/>
          <w:szCs w:val="24"/>
        </w:rPr>
        <w:t>Journal of Retailing and Consumer Services</w:t>
      </w:r>
      <w:r w:rsidRPr="00E76122">
        <w:rPr>
          <w:rFonts w:ascii="Times New Roman" w:hAnsi="Times New Roman"/>
          <w:sz w:val="24"/>
          <w:szCs w:val="24"/>
        </w:rPr>
        <w:t xml:space="preserve"> (in press)</w:t>
      </w:r>
      <w:r w:rsidRPr="00E76122">
        <w:rPr>
          <w:rFonts w:ascii="Times New Roman" w:eastAsia="Times New Roman" w:hAnsi="Times New Roman"/>
          <w:color w:val="000000"/>
          <w:sz w:val="24"/>
          <w:szCs w:val="24"/>
        </w:rPr>
        <w:tab/>
      </w:r>
    </w:p>
    <w:p w14:paraId="779A97E6" w14:textId="77777777" w:rsidR="00AE033F" w:rsidRPr="00E76122" w:rsidRDefault="00AE033F" w:rsidP="00AE033F">
      <w:pPr>
        <w:spacing w:after="40" w:line="240" w:lineRule="auto"/>
        <w:ind w:left="720" w:hanging="720"/>
        <w:rPr>
          <w:rFonts w:ascii="Times New Roman" w:hAnsi="Times New Roman"/>
          <w:sz w:val="24"/>
          <w:szCs w:val="24"/>
        </w:rPr>
      </w:pPr>
      <w:r w:rsidRPr="00E76122">
        <w:rPr>
          <w:rFonts w:ascii="Times New Roman" w:hAnsi="Times New Roman"/>
          <w:sz w:val="24"/>
          <w:szCs w:val="24"/>
        </w:rPr>
        <w:t xml:space="preserve">Yen, Y.-S. (2020). Exploring the synergy effect of trust with other beliefs in television shopping. </w:t>
      </w:r>
      <w:r w:rsidRPr="00E76122">
        <w:rPr>
          <w:rFonts w:ascii="Times New Roman" w:hAnsi="Times New Roman"/>
          <w:i/>
          <w:iCs/>
          <w:sz w:val="24"/>
          <w:szCs w:val="24"/>
        </w:rPr>
        <w:t>Management Decision, 58(3)</w:t>
      </w:r>
      <w:r w:rsidRPr="00E76122">
        <w:rPr>
          <w:rFonts w:ascii="Times New Roman" w:hAnsi="Times New Roman"/>
          <w:sz w:val="24"/>
          <w:szCs w:val="24"/>
        </w:rPr>
        <w:t>, 428–447.</w:t>
      </w:r>
    </w:p>
    <w:p w14:paraId="00C257B5" w14:textId="77777777" w:rsidR="00AE033F" w:rsidRPr="00E76122" w:rsidRDefault="00AE033F" w:rsidP="00AE033F">
      <w:pPr>
        <w:spacing w:after="40" w:line="240" w:lineRule="auto"/>
        <w:ind w:left="720" w:hanging="720"/>
        <w:rPr>
          <w:rFonts w:ascii="Times New Roman" w:hAnsi="Times New Roman"/>
          <w:sz w:val="24"/>
          <w:szCs w:val="24"/>
        </w:rPr>
      </w:pPr>
      <w:r w:rsidRPr="00E76122">
        <w:rPr>
          <w:rFonts w:ascii="Times New Roman" w:hAnsi="Times New Roman"/>
          <w:sz w:val="24"/>
          <w:szCs w:val="24"/>
        </w:rPr>
        <w:t xml:space="preserve">Youn, S., Lee, J. E., &amp; Ha-Brookshire, J. (2021). Fashion </w:t>
      </w:r>
      <w:r>
        <w:rPr>
          <w:rFonts w:ascii="Times New Roman" w:hAnsi="Times New Roman"/>
          <w:sz w:val="24"/>
          <w:szCs w:val="24"/>
        </w:rPr>
        <w:t>c</w:t>
      </w:r>
      <w:r w:rsidRPr="00E76122">
        <w:rPr>
          <w:rFonts w:ascii="Times New Roman" w:hAnsi="Times New Roman"/>
          <w:sz w:val="24"/>
          <w:szCs w:val="24"/>
        </w:rPr>
        <w:t xml:space="preserve">onsumers’ </w:t>
      </w:r>
      <w:r>
        <w:rPr>
          <w:rFonts w:ascii="Times New Roman" w:hAnsi="Times New Roman"/>
          <w:sz w:val="24"/>
          <w:szCs w:val="24"/>
        </w:rPr>
        <w:t>c</w:t>
      </w:r>
      <w:r w:rsidRPr="00E76122">
        <w:rPr>
          <w:rFonts w:ascii="Times New Roman" w:hAnsi="Times New Roman"/>
          <w:sz w:val="24"/>
          <w:szCs w:val="24"/>
        </w:rPr>
        <w:t xml:space="preserve">hannel </w:t>
      </w:r>
      <w:r>
        <w:rPr>
          <w:rFonts w:ascii="Times New Roman" w:hAnsi="Times New Roman"/>
          <w:sz w:val="24"/>
          <w:szCs w:val="24"/>
        </w:rPr>
        <w:t>s</w:t>
      </w:r>
      <w:r w:rsidRPr="00E76122">
        <w:rPr>
          <w:rFonts w:ascii="Times New Roman" w:hAnsi="Times New Roman"/>
          <w:sz w:val="24"/>
          <w:szCs w:val="24"/>
        </w:rPr>
        <w:t xml:space="preserve">witching </w:t>
      </w:r>
      <w:r>
        <w:rPr>
          <w:rFonts w:ascii="Times New Roman" w:hAnsi="Times New Roman"/>
          <w:sz w:val="24"/>
          <w:szCs w:val="24"/>
        </w:rPr>
        <w:t>b</w:t>
      </w:r>
      <w:r w:rsidRPr="00E76122">
        <w:rPr>
          <w:rFonts w:ascii="Times New Roman" w:hAnsi="Times New Roman"/>
          <w:sz w:val="24"/>
          <w:szCs w:val="24"/>
        </w:rPr>
        <w:t xml:space="preserve">ehavior </w:t>
      </w:r>
      <w:r>
        <w:rPr>
          <w:rFonts w:ascii="Times New Roman" w:hAnsi="Times New Roman"/>
          <w:sz w:val="24"/>
          <w:szCs w:val="24"/>
        </w:rPr>
        <w:t>d</w:t>
      </w:r>
      <w:r w:rsidRPr="00E76122">
        <w:rPr>
          <w:rFonts w:ascii="Times New Roman" w:hAnsi="Times New Roman"/>
          <w:sz w:val="24"/>
          <w:szCs w:val="24"/>
        </w:rPr>
        <w:t xml:space="preserve">uring the COVID-19: Protection </w:t>
      </w:r>
      <w:r>
        <w:rPr>
          <w:rFonts w:ascii="Times New Roman" w:hAnsi="Times New Roman"/>
          <w:sz w:val="24"/>
          <w:szCs w:val="24"/>
        </w:rPr>
        <w:t>m</w:t>
      </w:r>
      <w:r w:rsidRPr="00E76122">
        <w:rPr>
          <w:rFonts w:ascii="Times New Roman" w:hAnsi="Times New Roman"/>
          <w:sz w:val="24"/>
          <w:szCs w:val="24"/>
        </w:rPr>
        <w:t xml:space="preserve">otivation </w:t>
      </w:r>
      <w:r>
        <w:rPr>
          <w:rFonts w:ascii="Times New Roman" w:hAnsi="Times New Roman"/>
          <w:sz w:val="24"/>
          <w:szCs w:val="24"/>
        </w:rPr>
        <w:t>t</w:t>
      </w:r>
      <w:r w:rsidRPr="00E76122">
        <w:rPr>
          <w:rFonts w:ascii="Times New Roman" w:hAnsi="Times New Roman"/>
          <w:sz w:val="24"/>
          <w:szCs w:val="24"/>
        </w:rPr>
        <w:t xml:space="preserve">heory in the </w:t>
      </w:r>
      <w:r>
        <w:rPr>
          <w:rFonts w:ascii="Times New Roman" w:hAnsi="Times New Roman"/>
          <w:sz w:val="24"/>
          <w:szCs w:val="24"/>
        </w:rPr>
        <w:t>e</w:t>
      </w:r>
      <w:r w:rsidRPr="00E76122">
        <w:rPr>
          <w:rFonts w:ascii="Times New Roman" w:hAnsi="Times New Roman"/>
          <w:sz w:val="24"/>
          <w:szCs w:val="24"/>
        </w:rPr>
        <w:t xml:space="preserve">xtended </w:t>
      </w:r>
      <w:r>
        <w:rPr>
          <w:rFonts w:ascii="Times New Roman" w:hAnsi="Times New Roman"/>
          <w:sz w:val="24"/>
          <w:szCs w:val="24"/>
        </w:rPr>
        <w:t>p</w:t>
      </w:r>
      <w:r w:rsidRPr="00E76122">
        <w:rPr>
          <w:rFonts w:ascii="Times New Roman" w:hAnsi="Times New Roman"/>
          <w:sz w:val="24"/>
          <w:szCs w:val="24"/>
        </w:rPr>
        <w:t xml:space="preserve">lanned </w:t>
      </w:r>
      <w:r>
        <w:rPr>
          <w:rFonts w:ascii="Times New Roman" w:hAnsi="Times New Roman"/>
          <w:sz w:val="24"/>
          <w:szCs w:val="24"/>
        </w:rPr>
        <w:t>b</w:t>
      </w:r>
      <w:r w:rsidRPr="00E76122">
        <w:rPr>
          <w:rFonts w:ascii="Times New Roman" w:hAnsi="Times New Roman"/>
          <w:sz w:val="24"/>
          <w:szCs w:val="24"/>
        </w:rPr>
        <w:t xml:space="preserve">ehavior </w:t>
      </w:r>
      <w:r>
        <w:rPr>
          <w:rFonts w:ascii="Times New Roman" w:hAnsi="Times New Roman"/>
          <w:sz w:val="24"/>
          <w:szCs w:val="24"/>
        </w:rPr>
        <w:t>f</w:t>
      </w:r>
      <w:r w:rsidRPr="00E76122">
        <w:rPr>
          <w:rFonts w:ascii="Times New Roman" w:hAnsi="Times New Roman"/>
          <w:sz w:val="24"/>
          <w:szCs w:val="24"/>
        </w:rPr>
        <w:t xml:space="preserve">ramework. </w:t>
      </w:r>
      <w:r w:rsidRPr="00E76122">
        <w:rPr>
          <w:rFonts w:ascii="Times New Roman" w:hAnsi="Times New Roman"/>
          <w:i/>
          <w:iCs/>
          <w:sz w:val="24"/>
          <w:szCs w:val="24"/>
        </w:rPr>
        <w:t>Clothing &amp; Textiles Research Journal, 39</w:t>
      </w:r>
      <w:r w:rsidRPr="00E76122">
        <w:rPr>
          <w:rFonts w:ascii="Times New Roman" w:hAnsi="Times New Roman"/>
          <w:sz w:val="24"/>
          <w:szCs w:val="24"/>
        </w:rPr>
        <w:t>(2), 139–156.</w:t>
      </w:r>
    </w:p>
    <w:sectPr w:rsidR="00AE033F" w:rsidRPr="00E76122"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9C44" w14:textId="77777777" w:rsidR="000F5A11" w:rsidRDefault="000F5A11" w:rsidP="00AF5871">
      <w:pPr>
        <w:spacing w:after="0" w:line="240" w:lineRule="auto"/>
      </w:pPr>
      <w:r>
        <w:separator/>
      </w:r>
    </w:p>
  </w:endnote>
  <w:endnote w:type="continuationSeparator" w:id="0">
    <w:p w14:paraId="4031C62E" w14:textId="77777777" w:rsidR="000F5A11" w:rsidRDefault="000F5A11"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3863" w14:textId="77777777" w:rsidR="000F5A11" w:rsidRDefault="000F5A11" w:rsidP="00AF5871">
      <w:pPr>
        <w:spacing w:after="0" w:line="240" w:lineRule="auto"/>
      </w:pPr>
      <w:r>
        <w:separator/>
      </w:r>
    </w:p>
  </w:footnote>
  <w:footnote w:type="continuationSeparator" w:id="0">
    <w:p w14:paraId="183EC863" w14:textId="77777777" w:rsidR="000F5A11" w:rsidRDefault="000F5A11"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69CB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170EA"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E2B37"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MTU2NLEwNjcxsDBQ0lEKTi0uzszPAykwqgUAEbwRHCwAAAA="/>
  </w:docVars>
  <w:rsids>
    <w:rsidRoot w:val="00AF5871"/>
    <w:rsid w:val="00000299"/>
    <w:rsid w:val="000012C4"/>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5A11"/>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3296"/>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4820"/>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195B"/>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04F8"/>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97E18"/>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000"/>
    <w:rsid w:val="005303B0"/>
    <w:rsid w:val="005330BB"/>
    <w:rsid w:val="00536BF6"/>
    <w:rsid w:val="00540058"/>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6B9D"/>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4F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3AD2"/>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340"/>
    <w:rsid w:val="00A1685B"/>
    <w:rsid w:val="00A17C7E"/>
    <w:rsid w:val="00A21D05"/>
    <w:rsid w:val="00A30A86"/>
    <w:rsid w:val="00A4081E"/>
    <w:rsid w:val="00A414F0"/>
    <w:rsid w:val="00A43A38"/>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033F"/>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86BDB"/>
    <w:rsid w:val="00B932A3"/>
    <w:rsid w:val="00B95677"/>
    <w:rsid w:val="00BA0913"/>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BF6AFA"/>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59C9"/>
    <w:rsid w:val="00DB6C1E"/>
    <w:rsid w:val="00DB77A7"/>
    <w:rsid w:val="00DC0B0A"/>
    <w:rsid w:val="00DC1E74"/>
    <w:rsid w:val="00DC2731"/>
    <w:rsid w:val="00DC5702"/>
    <w:rsid w:val="00DC604E"/>
    <w:rsid w:val="00DC7C2A"/>
    <w:rsid w:val="00DD49AB"/>
    <w:rsid w:val="00DE2B55"/>
    <w:rsid w:val="00DE3266"/>
    <w:rsid w:val="00DE3B5F"/>
    <w:rsid w:val="00DE5537"/>
    <w:rsid w:val="00E014DB"/>
    <w:rsid w:val="00E04158"/>
    <w:rsid w:val="00E0763B"/>
    <w:rsid w:val="00E1021C"/>
    <w:rsid w:val="00E1077B"/>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128B"/>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B7BAB"/>
    <w:rsid w:val="00FC2677"/>
    <w:rsid w:val="00FC72B0"/>
    <w:rsid w:val="00FD1D82"/>
    <w:rsid w:val="00FD5A94"/>
    <w:rsid w:val="00FD5BB0"/>
    <w:rsid w:val="00FD73F7"/>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unhideWhenUsed/>
    <w:rsid w:val="00AE033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16698</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Kopot, Caroline</cp:lastModifiedBy>
  <cp:revision>6</cp:revision>
  <cp:lastPrinted>2010-03-03T19:14:00Z</cp:lastPrinted>
  <dcterms:created xsi:type="dcterms:W3CDTF">2021-12-03T16:00:00Z</dcterms:created>
  <dcterms:modified xsi:type="dcterms:W3CDTF">2021-12-03T16:25:00Z</dcterms:modified>
</cp:coreProperties>
</file>