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CDAA" w14:textId="77777777" w:rsidR="00A72E7D" w:rsidRPr="00065F9E" w:rsidRDefault="00A72E7D" w:rsidP="00A72E7D">
      <w:pPr>
        <w:spacing w:after="240" w:line="240" w:lineRule="auto"/>
        <w:jc w:val="center"/>
        <w:rPr>
          <w:rFonts w:ascii="Times New Roman" w:eastAsia="Times New Roman" w:hAnsi="Times New Roman"/>
          <w:sz w:val="24"/>
          <w:szCs w:val="24"/>
        </w:rPr>
      </w:pPr>
      <w:r w:rsidRPr="00065F9E">
        <w:rPr>
          <w:rFonts w:ascii="Times New Roman" w:eastAsia="Times New Roman" w:hAnsi="Times New Roman"/>
          <w:sz w:val="24"/>
          <w:szCs w:val="24"/>
        </w:rPr>
        <w:t>Patent Analysis of Adaptive Apparel Innovations from 1990 to 2020</w:t>
      </w:r>
    </w:p>
    <w:p w14:paraId="5FFFBCC8" w14:textId="70FA39B1" w:rsidR="00A72E7D" w:rsidRDefault="00A72E7D" w:rsidP="00A72E7D">
      <w:pPr>
        <w:spacing w:before="240" w:after="24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 xml:space="preserve">Kristen D. Morris, Kayna Hobbs-Murphy, &amp; Hallie Kupfer </w:t>
      </w:r>
    </w:p>
    <w:p w14:paraId="7A21DB9C" w14:textId="5388AF4D" w:rsidR="00A72E7D" w:rsidRDefault="00A72E7D" w:rsidP="00A72E7D">
      <w:pPr>
        <w:spacing w:before="240" w:after="24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Colorado State University, USA</w:t>
      </w:r>
    </w:p>
    <w:p w14:paraId="3DBA0BB8" w14:textId="77777777" w:rsidR="00A72E7D" w:rsidRDefault="00A72E7D" w:rsidP="00A72E7D">
      <w:pPr>
        <w:spacing w:before="240" w:after="240" w:line="240" w:lineRule="auto"/>
        <w:contextualSpacing/>
        <w:jc w:val="center"/>
        <w:rPr>
          <w:rFonts w:ascii="Times New Roman" w:eastAsia="Times New Roman" w:hAnsi="Times New Roman"/>
          <w:sz w:val="24"/>
          <w:szCs w:val="24"/>
        </w:rPr>
      </w:pPr>
    </w:p>
    <w:p w14:paraId="2BCDE3AD" w14:textId="6F006C73" w:rsidR="00A72E7D" w:rsidRPr="00065F9E" w:rsidRDefault="00A72E7D" w:rsidP="00A72E7D">
      <w:pPr>
        <w:spacing w:before="240" w:after="240" w:line="240" w:lineRule="auto"/>
        <w:ind w:firstLine="720"/>
        <w:contextualSpacing/>
        <w:rPr>
          <w:rFonts w:ascii="Times New Roman" w:eastAsia="Times New Roman" w:hAnsi="Times New Roman"/>
          <w:sz w:val="24"/>
          <w:szCs w:val="24"/>
        </w:rPr>
      </w:pPr>
      <w:r w:rsidRPr="00065F9E">
        <w:rPr>
          <w:rFonts w:ascii="Times New Roman" w:eastAsia="Times New Roman" w:hAnsi="Times New Roman"/>
          <w:sz w:val="24"/>
          <w:szCs w:val="24"/>
        </w:rPr>
        <w:t>Patents provide a good measure of the foci of innovation in various industries (Katila, 2000). Recently, there has been an increased interest in innovations for adaptive apparel in the apparel industry. Adaptive apparel is "clothing designed specifically for people with disabilities who find it difficult to dress independently or those with sensory issues who are sensitive to certain textures and materials" (Moniuszko, 2018). As the modern fashion industry moves toward greater inclusivity and representation</w:t>
      </w:r>
      <w:r>
        <w:rPr>
          <w:rFonts w:ascii="Times New Roman" w:eastAsia="Times New Roman" w:hAnsi="Times New Roman"/>
          <w:sz w:val="24"/>
          <w:szCs w:val="24"/>
        </w:rPr>
        <w:t xml:space="preserve"> of people with disabilities</w:t>
      </w:r>
      <w:r w:rsidRPr="00065F9E">
        <w:rPr>
          <w:rFonts w:ascii="Times New Roman" w:eastAsia="Times New Roman" w:hAnsi="Times New Roman"/>
          <w:sz w:val="24"/>
          <w:szCs w:val="24"/>
        </w:rPr>
        <w:t>, so too do the adaptive apparel options available in the market (</w:t>
      </w:r>
      <w:proofErr w:type="spellStart"/>
      <w:r w:rsidRPr="00065F9E">
        <w:rPr>
          <w:rFonts w:ascii="Times New Roman" w:eastAsia="Times New Roman" w:hAnsi="Times New Roman"/>
          <w:sz w:val="24"/>
          <w:szCs w:val="24"/>
        </w:rPr>
        <w:t>McBee</w:t>
      </w:r>
      <w:proofErr w:type="spellEnd"/>
      <w:r w:rsidRPr="00065F9E">
        <w:rPr>
          <w:rFonts w:ascii="Times New Roman" w:eastAsia="Times New Roman" w:hAnsi="Times New Roman"/>
          <w:sz w:val="24"/>
          <w:szCs w:val="24"/>
        </w:rPr>
        <w:t xml:space="preserve">-Black &amp; Ha-Brookshire, 2021). And so, the authors were curious if patents were being granted for adaptive apparel innovations and if there were noticeable parallels between patent activity for adaptive apparel innovations and market activity. Therefore, the </w:t>
      </w:r>
      <w:r>
        <w:rPr>
          <w:rFonts w:ascii="Times New Roman" w:eastAsia="Times New Roman" w:hAnsi="Times New Roman"/>
          <w:sz w:val="24"/>
          <w:szCs w:val="24"/>
        </w:rPr>
        <w:t>authors</w:t>
      </w:r>
      <w:r w:rsidRPr="00065F9E">
        <w:rPr>
          <w:rFonts w:ascii="Times New Roman" w:eastAsia="Times New Roman" w:hAnsi="Times New Roman"/>
          <w:sz w:val="24"/>
          <w:szCs w:val="24"/>
        </w:rPr>
        <w:t xml:space="preserve"> conducted a content analysis of all apparel patents published from 1990 to 2020 targeted toward people with disabilities to achieve this goal. This 30-year span coincides with the passing of the Americans with Disabilities Act (ADA.gov, n.d.). </w:t>
      </w:r>
    </w:p>
    <w:p w14:paraId="14A4336D" w14:textId="77777777" w:rsidR="00A72E7D" w:rsidRPr="00065F9E" w:rsidRDefault="00A72E7D" w:rsidP="00A72E7D">
      <w:pPr>
        <w:spacing w:before="120" w:after="0" w:line="240" w:lineRule="auto"/>
        <w:ind w:firstLine="720"/>
        <w:contextualSpacing/>
        <w:rPr>
          <w:rFonts w:ascii="Times New Roman" w:eastAsia="Times New Roman" w:hAnsi="Times New Roman"/>
          <w:sz w:val="24"/>
          <w:szCs w:val="24"/>
        </w:rPr>
      </w:pPr>
      <w:r w:rsidRPr="00065F9E">
        <w:rPr>
          <w:rFonts w:ascii="Times New Roman" w:eastAsia="Times New Roman" w:hAnsi="Times New Roman"/>
          <w:sz w:val="24"/>
          <w:szCs w:val="24"/>
        </w:rPr>
        <w:t xml:space="preserve">Several apparel scholars have utilized patents as a measure of innovations in the fashion industry. Specifically, apparel historians (i.e., </w:t>
      </w:r>
      <w:proofErr w:type="spellStart"/>
      <w:r w:rsidRPr="00065F9E">
        <w:rPr>
          <w:rFonts w:ascii="Times New Roman" w:eastAsia="Times New Roman" w:hAnsi="Times New Roman"/>
          <w:sz w:val="24"/>
          <w:szCs w:val="24"/>
        </w:rPr>
        <w:t>Keist</w:t>
      </w:r>
      <w:proofErr w:type="spellEnd"/>
      <w:r w:rsidRPr="00065F9E">
        <w:rPr>
          <w:rFonts w:ascii="Times New Roman" w:eastAsia="Times New Roman" w:hAnsi="Times New Roman"/>
          <w:sz w:val="24"/>
          <w:szCs w:val="24"/>
        </w:rPr>
        <w:t xml:space="preserve"> &amp; </w:t>
      </w:r>
      <w:proofErr w:type="spellStart"/>
      <w:r w:rsidRPr="00065F9E">
        <w:rPr>
          <w:rFonts w:ascii="Times New Roman" w:eastAsia="Times New Roman" w:hAnsi="Times New Roman"/>
          <w:sz w:val="24"/>
          <w:szCs w:val="24"/>
        </w:rPr>
        <w:t>Marcketti</w:t>
      </w:r>
      <w:proofErr w:type="spellEnd"/>
      <w:r w:rsidRPr="00065F9E">
        <w:rPr>
          <w:rFonts w:ascii="Times New Roman" w:eastAsia="Times New Roman" w:hAnsi="Times New Roman"/>
          <w:sz w:val="24"/>
          <w:szCs w:val="24"/>
        </w:rPr>
        <w:t xml:space="preserve">, 2019; </w:t>
      </w:r>
      <w:proofErr w:type="spellStart"/>
      <w:r w:rsidRPr="00065F9E">
        <w:rPr>
          <w:rFonts w:ascii="Times New Roman" w:eastAsia="Times New Roman" w:hAnsi="Times New Roman"/>
          <w:sz w:val="24"/>
          <w:szCs w:val="24"/>
        </w:rPr>
        <w:t>Peteu</w:t>
      </w:r>
      <w:proofErr w:type="spellEnd"/>
      <w:r w:rsidRPr="00065F9E">
        <w:rPr>
          <w:rFonts w:ascii="Times New Roman" w:eastAsia="Times New Roman" w:hAnsi="Times New Roman"/>
          <w:sz w:val="24"/>
          <w:szCs w:val="24"/>
        </w:rPr>
        <w:t xml:space="preserve"> &amp; Gray, 2009) examined utility patents to track how garments' functionality evolved and understand how inventors addressed clothing problems for target user groups. Both </w:t>
      </w:r>
      <w:proofErr w:type="spellStart"/>
      <w:r w:rsidRPr="00065F9E">
        <w:rPr>
          <w:rFonts w:ascii="Times New Roman" w:eastAsia="Times New Roman" w:hAnsi="Times New Roman"/>
          <w:sz w:val="24"/>
          <w:szCs w:val="24"/>
        </w:rPr>
        <w:t>Peteu</w:t>
      </w:r>
      <w:proofErr w:type="spellEnd"/>
      <w:r w:rsidRPr="00065F9E">
        <w:rPr>
          <w:rFonts w:ascii="Times New Roman" w:eastAsia="Times New Roman" w:hAnsi="Times New Roman"/>
          <w:sz w:val="24"/>
          <w:szCs w:val="24"/>
        </w:rPr>
        <w:t xml:space="preserve"> and Gray (2009) and </w:t>
      </w:r>
      <w:proofErr w:type="spellStart"/>
      <w:r w:rsidRPr="00065F9E">
        <w:rPr>
          <w:rFonts w:ascii="Times New Roman" w:eastAsia="Times New Roman" w:hAnsi="Times New Roman"/>
          <w:sz w:val="24"/>
          <w:szCs w:val="24"/>
        </w:rPr>
        <w:t>Keist</w:t>
      </w:r>
      <w:proofErr w:type="spellEnd"/>
      <w:r w:rsidRPr="00065F9E">
        <w:rPr>
          <w:rFonts w:ascii="Times New Roman" w:eastAsia="Times New Roman" w:hAnsi="Times New Roman"/>
          <w:sz w:val="24"/>
          <w:szCs w:val="24"/>
        </w:rPr>
        <w:t xml:space="preserve"> and </w:t>
      </w:r>
      <w:proofErr w:type="spellStart"/>
      <w:r w:rsidRPr="00065F9E">
        <w:rPr>
          <w:rFonts w:ascii="Times New Roman" w:eastAsia="Times New Roman" w:hAnsi="Times New Roman"/>
          <w:sz w:val="24"/>
          <w:szCs w:val="24"/>
        </w:rPr>
        <w:t>Marcketti</w:t>
      </w:r>
      <w:proofErr w:type="spellEnd"/>
      <w:r w:rsidRPr="00065F9E">
        <w:rPr>
          <w:rFonts w:ascii="Times New Roman" w:eastAsia="Times New Roman" w:hAnsi="Times New Roman"/>
          <w:sz w:val="24"/>
          <w:szCs w:val="24"/>
        </w:rPr>
        <w:t xml:space="preserve"> (2019) found patents to be valuable primary evidence resources that provide an alternative viewpoint from traditional sources like popular press and academic writings. Furthermore, Abbas</w:t>
      </w:r>
      <w:r>
        <w:rPr>
          <w:rFonts w:ascii="Times New Roman" w:eastAsia="Times New Roman" w:hAnsi="Times New Roman"/>
          <w:sz w:val="24"/>
          <w:szCs w:val="24"/>
        </w:rPr>
        <w:t xml:space="preserve"> et al., </w:t>
      </w:r>
      <w:r w:rsidRPr="00065F9E">
        <w:rPr>
          <w:rFonts w:ascii="Times New Roman" w:eastAsia="Times New Roman" w:hAnsi="Times New Roman"/>
          <w:sz w:val="24"/>
          <w:szCs w:val="24"/>
        </w:rPr>
        <w:t xml:space="preserve">(2014) note that with increasing volumes of patent information available, professionals are interested in patent analysis to determine "technological vacuums and hotspots" (p. 3). This study aimed to understand the patent landscape - vacuums and hotspots - for adaptive apparel innovations. </w:t>
      </w:r>
    </w:p>
    <w:p w14:paraId="7A558C53" w14:textId="77777777" w:rsidR="00A72E7D" w:rsidRPr="00065F9E" w:rsidRDefault="00A72E7D" w:rsidP="00A72E7D">
      <w:pPr>
        <w:spacing w:before="120" w:after="0" w:line="240" w:lineRule="auto"/>
        <w:ind w:firstLine="720"/>
        <w:contextualSpacing/>
        <w:rPr>
          <w:rFonts w:ascii="Times New Roman" w:eastAsia="Times New Roman" w:hAnsi="Times New Roman"/>
          <w:sz w:val="24"/>
          <w:szCs w:val="24"/>
        </w:rPr>
      </w:pPr>
      <w:r w:rsidRPr="00065F9E">
        <w:rPr>
          <w:rFonts w:ascii="Times New Roman" w:eastAsia="Times New Roman" w:hAnsi="Times New Roman"/>
          <w:sz w:val="24"/>
          <w:szCs w:val="24"/>
        </w:rPr>
        <w:t xml:space="preserve">The </w:t>
      </w:r>
      <w:r>
        <w:rPr>
          <w:rFonts w:ascii="Times New Roman" w:eastAsia="Times New Roman" w:hAnsi="Times New Roman"/>
          <w:sz w:val="24"/>
          <w:szCs w:val="24"/>
        </w:rPr>
        <w:t>authors</w:t>
      </w:r>
      <w:r w:rsidRPr="00065F9E">
        <w:rPr>
          <w:rFonts w:ascii="Times New Roman" w:eastAsia="Times New Roman" w:hAnsi="Times New Roman"/>
          <w:sz w:val="24"/>
          <w:szCs w:val="24"/>
        </w:rPr>
        <w:t xml:space="preserve"> used the Google Patents database to search garment-related patents targeted toward people with disabilities. The patent search was bound by the years 1990 to 2020 and only included U.S. patents written in English. Both design patents and utility patents were included in the patent search. However, only utility patents emerged in the data set. Using the United States Classification (USPC) system, this study searched for patents within </w:t>
      </w:r>
      <w:r w:rsidRPr="00065F9E">
        <w:rPr>
          <w:rFonts w:ascii="Times New Roman" w:eastAsia="Times New Roman" w:hAnsi="Times New Roman"/>
          <w:i/>
          <w:iCs/>
          <w:sz w:val="24"/>
          <w:szCs w:val="24"/>
        </w:rPr>
        <w:t>Section A: Human Necessities</w:t>
      </w:r>
      <w:r w:rsidRPr="00065F9E">
        <w:rPr>
          <w:rFonts w:ascii="Times New Roman" w:eastAsia="Times New Roman" w:hAnsi="Times New Roman"/>
          <w:sz w:val="24"/>
          <w:szCs w:val="24"/>
        </w:rPr>
        <w:t xml:space="preserve"> and the </w:t>
      </w:r>
      <w:r w:rsidRPr="00065F9E">
        <w:rPr>
          <w:rFonts w:ascii="Times New Roman" w:eastAsia="Times New Roman" w:hAnsi="Times New Roman"/>
          <w:i/>
          <w:iCs/>
          <w:sz w:val="24"/>
          <w:szCs w:val="24"/>
        </w:rPr>
        <w:t>A41 Wearing Apparel,</w:t>
      </w:r>
      <w:r w:rsidRPr="00065F9E">
        <w:rPr>
          <w:rFonts w:ascii="Times New Roman" w:eastAsia="Times New Roman" w:hAnsi="Times New Roman"/>
          <w:sz w:val="24"/>
          <w:szCs w:val="24"/>
        </w:rPr>
        <w:t xml:space="preserve"> </w:t>
      </w:r>
      <w:r w:rsidRPr="00065F9E">
        <w:rPr>
          <w:rFonts w:ascii="Times New Roman" w:eastAsia="Times New Roman" w:hAnsi="Times New Roman"/>
          <w:i/>
          <w:iCs/>
          <w:sz w:val="24"/>
          <w:szCs w:val="24"/>
        </w:rPr>
        <w:t>A42 Headwear,</w:t>
      </w:r>
      <w:r w:rsidRPr="00065F9E">
        <w:rPr>
          <w:rFonts w:ascii="Times New Roman" w:eastAsia="Times New Roman" w:hAnsi="Times New Roman"/>
          <w:sz w:val="24"/>
          <w:szCs w:val="24"/>
        </w:rPr>
        <w:t xml:space="preserve"> and </w:t>
      </w:r>
      <w:r w:rsidRPr="00065F9E">
        <w:rPr>
          <w:rFonts w:ascii="Times New Roman" w:eastAsia="Times New Roman" w:hAnsi="Times New Roman"/>
          <w:i/>
          <w:iCs/>
          <w:sz w:val="24"/>
          <w:szCs w:val="24"/>
        </w:rPr>
        <w:t>A43 Footwear</w:t>
      </w:r>
      <w:r w:rsidRPr="00065F9E">
        <w:rPr>
          <w:rFonts w:ascii="Times New Roman" w:eastAsia="Times New Roman" w:hAnsi="Times New Roman"/>
          <w:sz w:val="24"/>
          <w:szCs w:val="24"/>
        </w:rPr>
        <w:t xml:space="preserve"> classes. These are the three patent classes relevant to apparel or garments, or accessories worn on the body. Data were collected between June 2020 and July 2020. The </w:t>
      </w:r>
      <w:r>
        <w:rPr>
          <w:rFonts w:ascii="Times New Roman" w:eastAsia="Times New Roman" w:hAnsi="Times New Roman"/>
          <w:sz w:val="24"/>
          <w:szCs w:val="24"/>
        </w:rPr>
        <w:t>authors</w:t>
      </w:r>
      <w:r w:rsidRPr="00065F9E">
        <w:rPr>
          <w:rFonts w:ascii="Times New Roman" w:eastAsia="Times New Roman" w:hAnsi="Times New Roman"/>
          <w:sz w:val="24"/>
          <w:szCs w:val="24"/>
        </w:rPr>
        <w:t xml:space="preserve"> conducted a thematic qualitative text analysis, as described by </w:t>
      </w:r>
      <w:proofErr w:type="spellStart"/>
      <w:r w:rsidRPr="00065F9E">
        <w:rPr>
          <w:rFonts w:ascii="Times New Roman" w:eastAsia="Times New Roman" w:hAnsi="Times New Roman"/>
          <w:sz w:val="24"/>
          <w:szCs w:val="24"/>
        </w:rPr>
        <w:t>Kuckartz</w:t>
      </w:r>
      <w:proofErr w:type="spellEnd"/>
      <w:r w:rsidRPr="00065F9E">
        <w:rPr>
          <w:rFonts w:ascii="Times New Roman" w:eastAsia="Times New Roman" w:hAnsi="Times New Roman"/>
          <w:sz w:val="24"/>
          <w:szCs w:val="24"/>
        </w:rPr>
        <w:t xml:space="preserve"> (2014), to understand the patent landscape. A first-round search using 20 unique search terms and their synonym (i.e., "disability" with synonym "disabled"). The search resulted in 470 patents. Next, the second author cleaned the data set, removing patents that were not directly related to disability, leaving 215 patents in the data set. The </w:t>
      </w:r>
      <w:r>
        <w:rPr>
          <w:rFonts w:ascii="Times New Roman" w:eastAsia="Times New Roman" w:hAnsi="Times New Roman"/>
          <w:sz w:val="24"/>
          <w:szCs w:val="24"/>
        </w:rPr>
        <w:t>authors</w:t>
      </w:r>
      <w:r w:rsidRPr="00065F9E">
        <w:rPr>
          <w:rFonts w:ascii="Times New Roman" w:eastAsia="Times New Roman" w:hAnsi="Times New Roman"/>
          <w:sz w:val="24"/>
          <w:szCs w:val="24"/>
        </w:rPr>
        <w:t xml:space="preserve"> then proceeded with a second-coding process to determine sub-categories of the </w:t>
      </w:r>
      <w:r w:rsidRPr="00065F9E">
        <w:rPr>
          <w:rFonts w:ascii="Times New Roman" w:eastAsia="Times New Roman" w:hAnsi="Times New Roman"/>
          <w:sz w:val="24"/>
          <w:szCs w:val="24"/>
        </w:rPr>
        <w:lastRenderedPageBreak/>
        <w:t xml:space="preserve">novelty claimed (target feature) and themes therein. The outcomes of the second-coding process </w:t>
      </w:r>
      <w:proofErr w:type="gramStart"/>
      <w:r w:rsidRPr="00065F9E">
        <w:rPr>
          <w:rFonts w:ascii="Times New Roman" w:eastAsia="Times New Roman" w:hAnsi="Times New Roman"/>
          <w:sz w:val="24"/>
          <w:szCs w:val="24"/>
        </w:rPr>
        <w:t>were are</w:t>
      </w:r>
      <w:proofErr w:type="gramEnd"/>
      <w:r w:rsidRPr="00065F9E">
        <w:rPr>
          <w:rFonts w:ascii="Times New Roman" w:eastAsia="Times New Roman" w:hAnsi="Times New Roman"/>
          <w:sz w:val="24"/>
          <w:szCs w:val="24"/>
        </w:rPr>
        <w:t xml:space="preserve"> presented in the results (</w:t>
      </w:r>
      <w:proofErr w:type="spellStart"/>
      <w:r w:rsidRPr="00065F9E">
        <w:rPr>
          <w:rFonts w:ascii="Times New Roman" w:eastAsia="Times New Roman" w:hAnsi="Times New Roman"/>
          <w:sz w:val="24"/>
          <w:szCs w:val="24"/>
        </w:rPr>
        <w:t>Kuckartz</w:t>
      </w:r>
      <w:proofErr w:type="spellEnd"/>
      <w:r w:rsidRPr="00065F9E">
        <w:rPr>
          <w:rFonts w:ascii="Times New Roman" w:eastAsia="Times New Roman" w:hAnsi="Times New Roman"/>
          <w:sz w:val="24"/>
          <w:szCs w:val="24"/>
        </w:rPr>
        <w:t xml:space="preserve">, 2014). </w:t>
      </w:r>
    </w:p>
    <w:p w14:paraId="3EF5410A" w14:textId="77777777" w:rsidR="00A72E7D" w:rsidRPr="00065F9E" w:rsidRDefault="00A72E7D" w:rsidP="00A72E7D">
      <w:pPr>
        <w:spacing w:before="120" w:after="0" w:line="240" w:lineRule="auto"/>
        <w:ind w:firstLine="720"/>
        <w:contextualSpacing/>
        <w:rPr>
          <w:rFonts w:ascii="Times New Roman" w:hAnsi="Times New Roman"/>
          <w:sz w:val="24"/>
          <w:szCs w:val="24"/>
        </w:rPr>
      </w:pPr>
      <w:r w:rsidRPr="00065F9E">
        <w:rPr>
          <w:rFonts w:ascii="Times New Roman" w:eastAsia="Times New Roman" w:hAnsi="Times New Roman"/>
          <w:sz w:val="24"/>
          <w:szCs w:val="24"/>
        </w:rPr>
        <w:t xml:space="preserve">Based on the data analysis, the </w:t>
      </w:r>
      <w:r>
        <w:rPr>
          <w:rFonts w:ascii="Times New Roman" w:eastAsia="Times New Roman" w:hAnsi="Times New Roman"/>
          <w:sz w:val="24"/>
          <w:szCs w:val="24"/>
        </w:rPr>
        <w:t>authors</w:t>
      </w:r>
      <w:r w:rsidRPr="00065F9E">
        <w:rPr>
          <w:rFonts w:ascii="Times New Roman" w:eastAsia="Times New Roman" w:hAnsi="Times New Roman"/>
          <w:sz w:val="24"/>
          <w:szCs w:val="24"/>
        </w:rPr>
        <w:t xml:space="preserve"> found </w:t>
      </w:r>
      <w:r w:rsidRPr="00065F9E">
        <w:rPr>
          <w:rFonts w:ascii="Times New Roman" w:hAnsi="Times New Roman"/>
          <w:sz w:val="24"/>
          <w:szCs w:val="24"/>
        </w:rPr>
        <w:t xml:space="preserve">increased trends in patenting innovations oriented to the disability community from 1990-2019, with a spike in 2015 and sustained interest since then. These patent trends also parallel the increased availability of adaptive apparel on the market </w:t>
      </w:r>
      <w:r w:rsidRPr="00065F9E">
        <w:rPr>
          <w:rFonts w:ascii="Times New Roman" w:eastAsia="Times New Roman" w:hAnsi="Times New Roman"/>
          <w:sz w:val="24"/>
          <w:szCs w:val="24"/>
        </w:rPr>
        <w:t>(</w:t>
      </w:r>
      <w:proofErr w:type="spellStart"/>
      <w:r w:rsidRPr="00065F9E">
        <w:rPr>
          <w:rFonts w:ascii="Times New Roman" w:eastAsia="Times New Roman" w:hAnsi="Times New Roman"/>
          <w:sz w:val="24"/>
          <w:szCs w:val="24"/>
        </w:rPr>
        <w:t>McBee</w:t>
      </w:r>
      <w:proofErr w:type="spellEnd"/>
      <w:r w:rsidRPr="00065F9E">
        <w:rPr>
          <w:rFonts w:ascii="Times New Roman" w:eastAsia="Times New Roman" w:hAnsi="Times New Roman"/>
          <w:sz w:val="24"/>
          <w:szCs w:val="24"/>
        </w:rPr>
        <w:t>-Black &amp; Ha-Brookshire, 2021)</w:t>
      </w:r>
      <w:r w:rsidRPr="00065F9E">
        <w:rPr>
          <w:rFonts w:ascii="Times New Roman" w:hAnsi="Times New Roman"/>
          <w:sz w:val="24"/>
          <w:szCs w:val="24"/>
        </w:rPr>
        <w:t xml:space="preserve">. The target audience for 61% of the patents (n = 131) in this data set was the disability community in general, described in the </w:t>
      </w:r>
      <w:r>
        <w:rPr>
          <w:rFonts w:ascii="Times New Roman" w:hAnsi="Times New Roman"/>
          <w:sz w:val="24"/>
          <w:szCs w:val="24"/>
        </w:rPr>
        <w:t xml:space="preserve">patent </w:t>
      </w:r>
      <w:r w:rsidRPr="00065F9E">
        <w:rPr>
          <w:rFonts w:ascii="Times New Roman" w:hAnsi="Times New Roman"/>
          <w:sz w:val="24"/>
          <w:szCs w:val="24"/>
        </w:rPr>
        <w:t>art as being for "people with disabilities." People with diabetes (n = 43)</w:t>
      </w:r>
      <w:r w:rsidRPr="00065F9E">
        <w:rPr>
          <w:rFonts w:ascii="Times New Roman" w:hAnsi="Times New Roman"/>
          <w:i/>
          <w:iCs/>
          <w:sz w:val="24"/>
          <w:szCs w:val="24"/>
        </w:rPr>
        <w:t xml:space="preserve"> </w:t>
      </w:r>
      <w:r w:rsidRPr="00065F9E">
        <w:rPr>
          <w:rFonts w:ascii="Times New Roman" w:hAnsi="Times New Roman"/>
          <w:sz w:val="24"/>
          <w:szCs w:val="24"/>
        </w:rPr>
        <w:t xml:space="preserve">were the top disability when a specific disability was identified. In other words, most of the patents found in this research were targeted towards a very broad group. The next closest target groups were people who use a wheelchair (n = 8), people with limb differences (including amputees) (n = 8), people with mobility difficulties (not requiring a wheelchair) (n = 7), and people with sensory processing disorders (n = 5). The remaining 13 patents were spread over 12 disabilities. In the data set, there were 18 different types of garments patented. The top three most patented garments were undergarments – briefs (n = 45), bibs, (n = 43), and socks (n = 34). The remaining 93 patents were spread across 15 garment categories. </w:t>
      </w:r>
    </w:p>
    <w:p w14:paraId="61CD0442" w14:textId="7BFC4DAE" w:rsidR="00A72E7D" w:rsidRPr="00065F9E" w:rsidRDefault="00A72E7D" w:rsidP="00A72E7D">
      <w:pPr>
        <w:spacing w:before="120" w:after="0" w:line="240" w:lineRule="auto"/>
        <w:ind w:firstLine="720"/>
        <w:contextualSpacing/>
        <w:rPr>
          <w:rFonts w:ascii="Times New Roman" w:hAnsi="Times New Roman"/>
          <w:sz w:val="24"/>
          <w:szCs w:val="24"/>
        </w:rPr>
      </w:pPr>
      <w:r w:rsidRPr="00065F9E">
        <w:rPr>
          <w:rFonts w:ascii="Times New Roman" w:hAnsi="Times New Roman"/>
          <w:sz w:val="24"/>
          <w:szCs w:val="24"/>
        </w:rPr>
        <w:t xml:space="preserve">When looking at the patents' novelty claimed in this data set, six themes emerged from the data analysis. The themes were </w:t>
      </w:r>
      <w:r w:rsidRPr="00065F9E">
        <w:rPr>
          <w:rFonts w:ascii="Times New Roman" w:hAnsi="Times New Roman"/>
          <w:i/>
          <w:iCs/>
          <w:sz w:val="24"/>
          <w:szCs w:val="24"/>
        </w:rPr>
        <w:t>safety</w:t>
      </w:r>
      <w:r w:rsidRPr="00065F9E">
        <w:rPr>
          <w:rFonts w:ascii="Times New Roman" w:hAnsi="Times New Roman"/>
          <w:sz w:val="24"/>
          <w:szCs w:val="24"/>
        </w:rPr>
        <w:t xml:space="preserve"> (n = 47), </w:t>
      </w:r>
      <w:r w:rsidRPr="00065F9E">
        <w:rPr>
          <w:rFonts w:ascii="Times New Roman" w:hAnsi="Times New Roman"/>
          <w:i/>
          <w:iCs/>
          <w:sz w:val="24"/>
          <w:szCs w:val="24"/>
        </w:rPr>
        <w:t>donning and doffing</w:t>
      </w:r>
      <w:r w:rsidRPr="00065F9E">
        <w:rPr>
          <w:rFonts w:ascii="Times New Roman" w:hAnsi="Times New Roman"/>
          <w:sz w:val="24"/>
          <w:szCs w:val="24"/>
        </w:rPr>
        <w:t xml:space="preserve"> (n = 46), </w:t>
      </w:r>
      <w:r w:rsidRPr="00065F9E">
        <w:rPr>
          <w:rFonts w:ascii="Times New Roman" w:hAnsi="Times New Roman"/>
          <w:i/>
          <w:iCs/>
          <w:sz w:val="24"/>
          <w:szCs w:val="24"/>
        </w:rPr>
        <w:t>cleanliness</w:t>
      </w:r>
      <w:r w:rsidRPr="00065F9E">
        <w:rPr>
          <w:rFonts w:ascii="Times New Roman" w:hAnsi="Times New Roman"/>
          <w:sz w:val="24"/>
          <w:szCs w:val="24"/>
        </w:rPr>
        <w:t xml:space="preserve"> (n = 41), physical and physiological </w:t>
      </w:r>
      <w:r w:rsidRPr="00065F9E">
        <w:rPr>
          <w:rFonts w:ascii="Times New Roman" w:hAnsi="Times New Roman"/>
          <w:i/>
          <w:iCs/>
          <w:sz w:val="24"/>
          <w:szCs w:val="24"/>
        </w:rPr>
        <w:t>comfort</w:t>
      </w:r>
      <w:r w:rsidRPr="00065F9E">
        <w:rPr>
          <w:rFonts w:ascii="Times New Roman" w:hAnsi="Times New Roman"/>
          <w:sz w:val="24"/>
          <w:szCs w:val="24"/>
        </w:rPr>
        <w:t xml:space="preserve"> (n = 36), </w:t>
      </w:r>
      <w:r w:rsidRPr="00065F9E">
        <w:rPr>
          <w:rFonts w:ascii="Times New Roman" w:hAnsi="Times New Roman"/>
          <w:i/>
          <w:iCs/>
          <w:sz w:val="24"/>
          <w:szCs w:val="24"/>
        </w:rPr>
        <w:t>toileting</w:t>
      </w:r>
      <w:r w:rsidRPr="00065F9E">
        <w:rPr>
          <w:rFonts w:ascii="Times New Roman" w:hAnsi="Times New Roman"/>
          <w:sz w:val="24"/>
          <w:szCs w:val="24"/>
        </w:rPr>
        <w:t xml:space="preserve"> (n = 26), and </w:t>
      </w:r>
      <w:r w:rsidRPr="00065F9E">
        <w:rPr>
          <w:rFonts w:ascii="Times New Roman" w:hAnsi="Times New Roman"/>
          <w:i/>
          <w:iCs/>
          <w:sz w:val="24"/>
          <w:szCs w:val="24"/>
        </w:rPr>
        <w:t>other</w:t>
      </w:r>
      <w:r w:rsidRPr="00065F9E">
        <w:rPr>
          <w:rFonts w:ascii="Times New Roman" w:hAnsi="Times New Roman"/>
          <w:sz w:val="24"/>
          <w:szCs w:val="24"/>
        </w:rPr>
        <w:t xml:space="preserve"> (n = 19). The main foci of innovation within </w:t>
      </w:r>
      <w:r w:rsidRPr="00065F9E">
        <w:rPr>
          <w:rFonts w:ascii="Times New Roman" w:hAnsi="Times New Roman"/>
          <w:i/>
          <w:iCs/>
          <w:sz w:val="24"/>
          <w:szCs w:val="24"/>
        </w:rPr>
        <w:t>safety</w:t>
      </w:r>
      <w:r w:rsidRPr="00065F9E">
        <w:rPr>
          <w:rFonts w:ascii="Times New Roman" w:hAnsi="Times New Roman"/>
          <w:b/>
          <w:bCs/>
          <w:sz w:val="24"/>
          <w:szCs w:val="24"/>
        </w:rPr>
        <w:t xml:space="preserve"> </w:t>
      </w:r>
      <w:r w:rsidRPr="00065F9E">
        <w:rPr>
          <w:rFonts w:ascii="Times New Roman" w:hAnsi="Times New Roman"/>
          <w:sz w:val="24"/>
          <w:szCs w:val="24"/>
        </w:rPr>
        <w:t xml:space="preserve">were ulcer prevention (n = 9), foot health (n = 7), and moisture management (n = 7). Regarding </w:t>
      </w:r>
      <w:r w:rsidRPr="00065F9E">
        <w:rPr>
          <w:rFonts w:ascii="Times New Roman" w:hAnsi="Times New Roman"/>
          <w:i/>
          <w:iCs/>
          <w:sz w:val="24"/>
          <w:szCs w:val="24"/>
        </w:rPr>
        <w:t>donning and doffing</w:t>
      </w:r>
      <w:r w:rsidRPr="00065F9E">
        <w:rPr>
          <w:rFonts w:ascii="Times New Roman" w:hAnsi="Times New Roman"/>
          <w:sz w:val="24"/>
          <w:szCs w:val="24"/>
        </w:rPr>
        <w:t xml:space="preserve">, inventors focused on alternative ways of dressing (n = 9), alternatives to buttons (n = 8), and easy dressing for tight-fitting garments (n = 7). The focus of </w:t>
      </w:r>
      <w:r w:rsidRPr="00065F9E">
        <w:rPr>
          <w:rFonts w:ascii="Times New Roman" w:hAnsi="Times New Roman"/>
          <w:i/>
          <w:iCs/>
          <w:sz w:val="24"/>
          <w:szCs w:val="24"/>
        </w:rPr>
        <w:t>cleanliness</w:t>
      </w:r>
      <w:r w:rsidRPr="00065F9E">
        <w:rPr>
          <w:rFonts w:ascii="Times New Roman" w:hAnsi="Times New Roman"/>
          <w:sz w:val="24"/>
          <w:szCs w:val="24"/>
        </w:rPr>
        <w:t xml:space="preserve"> were head and body coverage (n = 12), food capture (n = 10), and disposable bibs (n = 7). Regarding </w:t>
      </w:r>
      <w:r w:rsidRPr="00065F9E">
        <w:rPr>
          <w:rFonts w:ascii="Times New Roman" w:hAnsi="Times New Roman"/>
          <w:i/>
          <w:iCs/>
          <w:sz w:val="24"/>
          <w:szCs w:val="24"/>
        </w:rPr>
        <w:t>comfort</w:t>
      </w:r>
      <w:r w:rsidRPr="00065F9E">
        <w:rPr>
          <w:rFonts w:ascii="Times New Roman" w:hAnsi="Times New Roman"/>
          <w:sz w:val="24"/>
          <w:szCs w:val="24"/>
        </w:rPr>
        <w:t>, innovation was focused on</w:t>
      </w:r>
      <w:r w:rsidRPr="00065F9E">
        <w:rPr>
          <w:rFonts w:ascii="Times New Roman" w:hAnsi="Times New Roman"/>
          <w:i/>
          <w:iCs/>
          <w:sz w:val="24"/>
          <w:szCs w:val="24"/>
        </w:rPr>
        <w:t xml:space="preserve"> </w:t>
      </w:r>
      <w:r w:rsidRPr="00065F9E">
        <w:rPr>
          <w:rFonts w:ascii="Times New Roman" w:hAnsi="Times New Roman"/>
          <w:sz w:val="24"/>
          <w:szCs w:val="24"/>
        </w:rPr>
        <w:t xml:space="preserve">preventing chafing (n = 10), tactile stimulation (n= 5), and thermal comfort (n = 5). </w:t>
      </w:r>
      <w:r w:rsidRPr="00065F9E">
        <w:rPr>
          <w:rFonts w:ascii="Times New Roman" w:hAnsi="Times New Roman"/>
          <w:sz w:val="24"/>
          <w:szCs w:val="24"/>
        </w:rPr>
        <w:t>And</w:t>
      </w:r>
      <w:r w:rsidRPr="00065F9E">
        <w:rPr>
          <w:rFonts w:ascii="Times New Roman" w:hAnsi="Times New Roman"/>
          <w:sz w:val="24"/>
          <w:szCs w:val="24"/>
        </w:rPr>
        <w:t xml:space="preserve"> the main focus of patents for </w:t>
      </w:r>
      <w:r w:rsidRPr="00065F9E">
        <w:rPr>
          <w:rFonts w:ascii="Times New Roman" w:hAnsi="Times New Roman"/>
          <w:i/>
          <w:iCs/>
          <w:sz w:val="24"/>
          <w:szCs w:val="24"/>
        </w:rPr>
        <w:t>toileting</w:t>
      </w:r>
      <w:r w:rsidRPr="00065F9E">
        <w:rPr>
          <w:rFonts w:ascii="Times New Roman" w:hAnsi="Times New Roman"/>
          <w:sz w:val="24"/>
          <w:szCs w:val="24"/>
        </w:rPr>
        <w:t xml:space="preserve"> were access to genitals (n = 8), moisture management (n = 6), and independence (n = 5). Within “other” the top target features were educational garments (n = 3), medication storage (n = 3), and shapewear (n = 3). Furthermore, when looking at the data through the lens of disability, there emerge clusters of patents regarding the type of garment, disability, and novelty claimed. For example, the most common patents for people with diabetes were socks and compression socks. These patents focused on safety (foot health, moisture management, and ulcer prevention) and comfort (chafing prevention and size adjustable). Another example is that the patents targeting people who use wheelchairs were mainly for undergarments – briefs centering on donning and doffing, expressly alternative ways of dressing. </w:t>
      </w:r>
    </w:p>
    <w:p w14:paraId="112939D6" w14:textId="77777777" w:rsidR="00A72E7D" w:rsidRPr="00065F9E" w:rsidRDefault="00A72E7D" w:rsidP="00A72E7D">
      <w:pPr>
        <w:spacing w:before="120" w:after="0" w:line="240" w:lineRule="auto"/>
        <w:ind w:firstLine="720"/>
        <w:contextualSpacing/>
        <w:rPr>
          <w:rFonts w:ascii="Times New Roman" w:hAnsi="Times New Roman"/>
          <w:sz w:val="24"/>
          <w:szCs w:val="24"/>
        </w:rPr>
      </w:pPr>
      <w:r w:rsidRPr="00065F9E">
        <w:rPr>
          <w:rFonts w:ascii="Times New Roman" w:eastAsia="Times New Roman" w:hAnsi="Times New Roman"/>
          <w:sz w:val="24"/>
          <w:szCs w:val="24"/>
        </w:rPr>
        <w:t xml:space="preserve">Through the content analysis, </w:t>
      </w:r>
      <w:r>
        <w:rPr>
          <w:rFonts w:ascii="Times New Roman" w:eastAsia="Times New Roman" w:hAnsi="Times New Roman"/>
          <w:sz w:val="24"/>
          <w:szCs w:val="24"/>
        </w:rPr>
        <w:t>the authors</w:t>
      </w:r>
      <w:r w:rsidRPr="00065F9E">
        <w:rPr>
          <w:rFonts w:ascii="Times New Roman" w:eastAsia="Times New Roman" w:hAnsi="Times New Roman"/>
          <w:sz w:val="24"/>
          <w:szCs w:val="24"/>
        </w:rPr>
        <w:t xml:space="preserve"> observed that there had been a focus on the "disability community" in general – leaving an opportunity to dispel the disability monolith stereotype and develop patentable innovations that address specific needs of people with a variety of disabilities. Aside from the “general” group, there were only 43 patents for the most prominent target group, diabetes, and only one to eight patents for the remaining 17 disabilities noted in this study over the thirty-year timeframe. Furthermore, in this study, </w:t>
      </w:r>
      <w:r>
        <w:rPr>
          <w:rFonts w:ascii="Times New Roman" w:eastAsia="Times New Roman" w:hAnsi="Times New Roman"/>
          <w:sz w:val="24"/>
          <w:szCs w:val="24"/>
        </w:rPr>
        <w:t>the authors</w:t>
      </w:r>
      <w:r w:rsidRPr="00065F9E">
        <w:rPr>
          <w:rFonts w:ascii="Times New Roman" w:eastAsia="Times New Roman" w:hAnsi="Times New Roman"/>
          <w:sz w:val="24"/>
          <w:szCs w:val="24"/>
        </w:rPr>
        <w:t xml:space="preserve"> observed that the types of garments patented were predominantly innerwear that addressed </w:t>
      </w:r>
      <w:r w:rsidRPr="00065F9E">
        <w:rPr>
          <w:rFonts w:ascii="Times New Roman" w:eastAsia="Times New Roman" w:hAnsi="Times New Roman"/>
          <w:sz w:val="24"/>
          <w:szCs w:val="24"/>
        </w:rPr>
        <w:lastRenderedPageBreak/>
        <w:t xml:space="preserve">safety, donning and doffing, cleanliness, comfort, and toileting. These </w:t>
      </w:r>
      <w:r w:rsidRPr="00065F9E">
        <w:rPr>
          <w:rFonts w:ascii="Times New Roman" w:hAnsi="Times New Roman"/>
          <w:sz w:val="24"/>
          <w:szCs w:val="24"/>
        </w:rPr>
        <w:t>themes parallel design solutions found in some adaptive apparel on the market. However, adaptive apparel brands rarely address all six of these solutions within one brand offering. The ones that do (i.e., Silverts.com) are more function-forward with less of an aesthetic focus, which can be a barrier to social participation (Kable</w:t>
      </w:r>
      <w:r>
        <w:rPr>
          <w:rFonts w:ascii="Times New Roman" w:hAnsi="Times New Roman"/>
          <w:sz w:val="24"/>
          <w:szCs w:val="24"/>
        </w:rPr>
        <w:t xml:space="preserve"> et al.</w:t>
      </w:r>
      <w:r w:rsidRPr="00065F9E">
        <w:rPr>
          <w:rFonts w:ascii="Times New Roman" w:hAnsi="Times New Roman"/>
          <w:sz w:val="24"/>
          <w:szCs w:val="24"/>
        </w:rPr>
        <w:t xml:space="preserve">, 2017). </w:t>
      </w:r>
      <w:r w:rsidRPr="00065F9E">
        <w:rPr>
          <w:rFonts w:ascii="Times New Roman" w:eastAsia="Times New Roman" w:hAnsi="Times New Roman"/>
          <w:sz w:val="24"/>
          <w:szCs w:val="24"/>
        </w:rPr>
        <w:t>The authors acknowledge some manufacturers forego patents, going straight to commercialization</w:t>
      </w:r>
      <w:r>
        <w:rPr>
          <w:rFonts w:ascii="Times New Roman" w:eastAsia="Times New Roman" w:hAnsi="Times New Roman"/>
          <w:sz w:val="24"/>
          <w:szCs w:val="24"/>
        </w:rPr>
        <w:t>,</w:t>
      </w:r>
      <w:r w:rsidRPr="00065F9E">
        <w:rPr>
          <w:rFonts w:ascii="Times New Roman" w:eastAsia="Times New Roman" w:hAnsi="Times New Roman"/>
          <w:sz w:val="24"/>
          <w:szCs w:val="24"/>
        </w:rPr>
        <w:t xml:space="preserve"> and some design ideas are not patentable. Therefore, this study may only be capturing a portion of the innovative solutions targeted to people with disabilities. A </w:t>
      </w:r>
      <w:r w:rsidRPr="00065F9E">
        <w:rPr>
          <w:rFonts w:ascii="Times New Roman" w:hAnsi="Times New Roman"/>
          <w:sz w:val="24"/>
          <w:szCs w:val="24"/>
        </w:rPr>
        <w:t xml:space="preserve">content analysis of adaptive apparel features on the market is needed to capture innovations that are not patented and thereby not captured in this study. However, this study does create a snapshot of the foci of innovation of garment-focused </w:t>
      </w:r>
      <w:r>
        <w:rPr>
          <w:rFonts w:ascii="Times New Roman" w:hAnsi="Times New Roman"/>
          <w:sz w:val="24"/>
          <w:szCs w:val="24"/>
        </w:rPr>
        <w:t>inventions</w:t>
      </w:r>
      <w:r w:rsidRPr="00065F9E">
        <w:rPr>
          <w:rFonts w:ascii="Times New Roman" w:hAnsi="Times New Roman"/>
          <w:sz w:val="24"/>
          <w:szCs w:val="24"/>
        </w:rPr>
        <w:t xml:space="preserve"> for people with disabilities. This study provides</w:t>
      </w:r>
      <w:r w:rsidRPr="00065F9E">
        <w:rPr>
          <w:rFonts w:ascii="Times New Roman" w:eastAsia="Times New Roman" w:hAnsi="Times New Roman"/>
          <w:sz w:val="24"/>
          <w:szCs w:val="24"/>
        </w:rPr>
        <w:t xml:space="preserve"> insight into how past inventors sought to solve garment-related issues for the disability community. Although there is patent activity regarding adaptive apparel, the landscape is not oversaturated, leaving </w:t>
      </w:r>
      <w:r w:rsidRPr="00065F9E">
        <w:rPr>
          <w:rFonts w:ascii="Times New Roman" w:hAnsi="Times New Roman"/>
          <w:sz w:val="24"/>
          <w:szCs w:val="24"/>
        </w:rPr>
        <w:t>opportunities for apparel researchers and designers who seek to improve garment design and eliminate clothing obstacles for people</w:t>
      </w:r>
      <w:r>
        <w:rPr>
          <w:rFonts w:ascii="Times New Roman" w:hAnsi="Times New Roman"/>
          <w:sz w:val="24"/>
          <w:szCs w:val="24"/>
        </w:rPr>
        <w:t xml:space="preserve"> with disabilities</w:t>
      </w:r>
      <w:r w:rsidRPr="00065F9E">
        <w:rPr>
          <w:rFonts w:ascii="Times New Roman" w:hAnsi="Times New Roman"/>
          <w:sz w:val="24"/>
          <w:szCs w:val="24"/>
        </w:rPr>
        <w:t xml:space="preserve">. </w:t>
      </w:r>
    </w:p>
    <w:p w14:paraId="10513947" w14:textId="77777777" w:rsidR="00A72E7D" w:rsidRPr="00065F9E" w:rsidRDefault="00A72E7D" w:rsidP="00A72E7D">
      <w:pPr>
        <w:spacing w:before="120" w:after="0" w:line="240" w:lineRule="auto"/>
        <w:jc w:val="center"/>
        <w:rPr>
          <w:rFonts w:ascii="Times New Roman" w:hAnsi="Times New Roman"/>
          <w:b/>
          <w:bCs/>
          <w:sz w:val="24"/>
          <w:szCs w:val="24"/>
        </w:rPr>
      </w:pPr>
      <w:r w:rsidRPr="00065F9E">
        <w:rPr>
          <w:rFonts w:ascii="Times New Roman" w:hAnsi="Times New Roman"/>
          <w:b/>
          <w:bCs/>
          <w:sz w:val="24"/>
          <w:szCs w:val="24"/>
        </w:rPr>
        <w:t>References</w:t>
      </w:r>
    </w:p>
    <w:p w14:paraId="170F0262" w14:textId="77777777" w:rsidR="00A72E7D" w:rsidRPr="00065F9E" w:rsidRDefault="00A72E7D" w:rsidP="00A72E7D">
      <w:pPr>
        <w:spacing w:after="0" w:line="240" w:lineRule="auto"/>
        <w:ind w:left="720" w:hanging="720"/>
        <w:rPr>
          <w:rFonts w:ascii="Times New Roman" w:hAnsi="Times New Roman"/>
          <w:sz w:val="24"/>
          <w:szCs w:val="24"/>
        </w:rPr>
      </w:pPr>
      <w:r w:rsidRPr="00065F9E">
        <w:rPr>
          <w:rFonts w:ascii="Times New Roman" w:eastAsia="Arial" w:hAnsi="Times New Roman"/>
          <w:sz w:val="24"/>
          <w:szCs w:val="24"/>
        </w:rPr>
        <w:t xml:space="preserve">Abbas, A., Zhang, L., &amp; Khan, S. U. (2014). A literature review on the state-of-the-art in patent analysis. </w:t>
      </w:r>
      <w:r w:rsidRPr="00065F9E">
        <w:rPr>
          <w:rFonts w:ascii="Times New Roman" w:eastAsia="Arial" w:hAnsi="Times New Roman"/>
          <w:i/>
          <w:iCs/>
          <w:sz w:val="24"/>
          <w:szCs w:val="24"/>
        </w:rPr>
        <w:t>World Patent Information</w:t>
      </w:r>
      <w:r w:rsidRPr="00065F9E">
        <w:rPr>
          <w:rFonts w:ascii="Times New Roman" w:eastAsia="Arial" w:hAnsi="Times New Roman"/>
          <w:sz w:val="24"/>
          <w:szCs w:val="24"/>
        </w:rPr>
        <w:t xml:space="preserve">, </w:t>
      </w:r>
      <w:r w:rsidRPr="00065F9E">
        <w:rPr>
          <w:rFonts w:ascii="Times New Roman" w:eastAsia="Arial" w:hAnsi="Times New Roman"/>
          <w:i/>
          <w:iCs/>
          <w:sz w:val="24"/>
          <w:szCs w:val="24"/>
        </w:rPr>
        <w:t>37</w:t>
      </w:r>
      <w:r w:rsidRPr="00065F9E">
        <w:rPr>
          <w:rFonts w:ascii="Times New Roman" w:eastAsia="Arial" w:hAnsi="Times New Roman"/>
          <w:sz w:val="24"/>
          <w:szCs w:val="24"/>
        </w:rPr>
        <w:t xml:space="preserve">, 3-13. </w:t>
      </w:r>
      <w:hyperlink r:id="rId8">
        <w:r w:rsidRPr="00065F9E">
          <w:rPr>
            <w:rStyle w:val="Hyperlink"/>
            <w:rFonts w:ascii="Times New Roman" w:hAnsi="Times New Roman"/>
            <w:sz w:val="24"/>
            <w:szCs w:val="24"/>
          </w:rPr>
          <w:t>doi.org/10.1016/j.wpi.2013.12.006</w:t>
        </w:r>
      </w:hyperlink>
    </w:p>
    <w:p w14:paraId="35DB15CF" w14:textId="77777777" w:rsidR="00A72E7D" w:rsidRPr="00065F9E" w:rsidRDefault="00A72E7D" w:rsidP="00A72E7D">
      <w:pPr>
        <w:spacing w:after="0" w:line="240" w:lineRule="auto"/>
        <w:ind w:left="720" w:hanging="720"/>
        <w:rPr>
          <w:rFonts w:ascii="Times New Roman" w:eastAsia="Times New Roman" w:hAnsi="Times New Roman"/>
          <w:sz w:val="24"/>
          <w:szCs w:val="24"/>
        </w:rPr>
      </w:pPr>
      <w:r w:rsidRPr="00065F9E">
        <w:rPr>
          <w:rFonts w:ascii="Times New Roman" w:eastAsia="Times New Roman" w:hAnsi="Times New Roman"/>
          <w:sz w:val="24"/>
          <w:szCs w:val="24"/>
        </w:rPr>
        <w:t xml:space="preserve">ADA.gov (n.d.) 30 Years of Progress: Access, Opportunity, and Inclusion. </w:t>
      </w:r>
      <w:hyperlink r:id="rId9">
        <w:r w:rsidRPr="00065F9E">
          <w:rPr>
            <w:rStyle w:val="Hyperlink"/>
            <w:rFonts w:ascii="Times New Roman" w:eastAsia="Times New Roman" w:hAnsi="Times New Roman"/>
            <w:sz w:val="24"/>
            <w:szCs w:val="24"/>
          </w:rPr>
          <w:t>https://www.ada.gov/30th_anniversary/</w:t>
        </w:r>
      </w:hyperlink>
      <w:r w:rsidRPr="00065F9E">
        <w:rPr>
          <w:rFonts w:ascii="Times New Roman" w:eastAsia="Times New Roman" w:hAnsi="Times New Roman"/>
          <w:sz w:val="24"/>
          <w:szCs w:val="24"/>
        </w:rPr>
        <w:t xml:space="preserve"> </w:t>
      </w:r>
    </w:p>
    <w:p w14:paraId="30E0867C" w14:textId="77777777" w:rsidR="00A72E7D" w:rsidRPr="00065F9E" w:rsidRDefault="00A72E7D" w:rsidP="00A72E7D">
      <w:pPr>
        <w:spacing w:after="0" w:line="240" w:lineRule="auto"/>
        <w:ind w:left="720" w:hanging="720"/>
        <w:rPr>
          <w:rFonts w:ascii="Times New Roman" w:hAnsi="Times New Roman"/>
          <w:sz w:val="24"/>
          <w:szCs w:val="24"/>
        </w:rPr>
      </w:pPr>
      <w:r w:rsidRPr="00065F9E">
        <w:rPr>
          <w:rFonts w:ascii="Times New Roman" w:eastAsia="Arial" w:hAnsi="Times New Roman"/>
          <w:sz w:val="24"/>
          <w:szCs w:val="24"/>
        </w:rPr>
        <w:t xml:space="preserve">Kabel, A., </w:t>
      </w:r>
      <w:proofErr w:type="spellStart"/>
      <w:r w:rsidRPr="00065F9E">
        <w:rPr>
          <w:rFonts w:ascii="Times New Roman" w:eastAsia="Arial" w:hAnsi="Times New Roman"/>
          <w:sz w:val="24"/>
          <w:szCs w:val="24"/>
        </w:rPr>
        <w:t>Dimka</w:t>
      </w:r>
      <w:proofErr w:type="spellEnd"/>
      <w:r w:rsidRPr="00065F9E">
        <w:rPr>
          <w:rFonts w:ascii="Times New Roman" w:eastAsia="Arial" w:hAnsi="Times New Roman"/>
          <w:sz w:val="24"/>
          <w:szCs w:val="24"/>
        </w:rPr>
        <w:t xml:space="preserve">, J., &amp; </w:t>
      </w:r>
      <w:proofErr w:type="spellStart"/>
      <w:r w:rsidRPr="00065F9E">
        <w:rPr>
          <w:rFonts w:ascii="Times New Roman" w:eastAsia="Arial" w:hAnsi="Times New Roman"/>
          <w:sz w:val="24"/>
          <w:szCs w:val="24"/>
        </w:rPr>
        <w:t>McBee</w:t>
      </w:r>
      <w:proofErr w:type="spellEnd"/>
      <w:r w:rsidRPr="00065F9E">
        <w:rPr>
          <w:rFonts w:ascii="Times New Roman" w:eastAsia="Arial" w:hAnsi="Times New Roman"/>
          <w:sz w:val="24"/>
          <w:szCs w:val="24"/>
        </w:rPr>
        <w:t xml:space="preserve">-Black, K. (2017). Clothing-related barriers experienced by people with mobility disabilities and impairments. </w:t>
      </w:r>
      <w:r w:rsidRPr="00065F9E">
        <w:rPr>
          <w:rFonts w:ascii="Times New Roman" w:eastAsia="Arial" w:hAnsi="Times New Roman"/>
          <w:i/>
          <w:iCs/>
          <w:sz w:val="24"/>
          <w:szCs w:val="24"/>
        </w:rPr>
        <w:t xml:space="preserve">Applied Ergonomics, 59, </w:t>
      </w:r>
      <w:r w:rsidRPr="00065F9E">
        <w:rPr>
          <w:rFonts w:ascii="Times New Roman" w:eastAsia="Arial" w:hAnsi="Times New Roman"/>
          <w:sz w:val="24"/>
          <w:szCs w:val="24"/>
        </w:rPr>
        <w:t xml:space="preserve">165.169. </w:t>
      </w:r>
      <w:proofErr w:type="spellStart"/>
      <w:r w:rsidRPr="00065F9E">
        <w:rPr>
          <w:rStyle w:val="id-label"/>
          <w:rFonts w:ascii="Times New Roman" w:hAnsi="Times New Roman"/>
          <w:sz w:val="24"/>
          <w:szCs w:val="24"/>
        </w:rPr>
        <w:t>doi</w:t>
      </w:r>
      <w:proofErr w:type="spellEnd"/>
      <w:r w:rsidRPr="00065F9E">
        <w:rPr>
          <w:rStyle w:val="id-label"/>
          <w:rFonts w:ascii="Times New Roman" w:hAnsi="Times New Roman"/>
          <w:sz w:val="24"/>
          <w:szCs w:val="24"/>
        </w:rPr>
        <w:t>:</w:t>
      </w:r>
      <w:r w:rsidRPr="00065F9E">
        <w:rPr>
          <w:rStyle w:val="apple-converted-space"/>
          <w:rFonts w:ascii="Times New Roman" w:hAnsi="Times New Roman"/>
          <w:sz w:val="24"/>
          <w:szCs w:val="24"/>
        </w:rPr>
        <w:t> </w:t>
      </w:r>
      <w:hyperlink r:id="rId10" w:tgtFrame="_blank" w:history="1">
        <w:r w:rsidRPr="00065F9E">
          <w:rPr>
            <w:rStyle w:val="Hyperlink"/>
            <w:rFonts w:ascii="Times New Roman" w:hAnsi="Times New Roman"/>
            <w:sz w:val="24"/>
            <w:szCs w:val="24"/>
          </w:rPr>
          <w:t>10.1016/j.apergo.2016.08.036</w:t>
        </w:r>
      </w:hyperlink>
    </w:p>
    <w:p w14:paraId="3094062F" w14:textId="77777777" w:rsidR="00A72E7D" w:rsidRPr="00065F9E" w:rsidRDefault="00A72E7D" w:rsidP="00A72E7D">
      <w:pPr>
        <w:spacing w:after="0" w:line="240" w:lineRule="auto"/>
        <w:ind w:left="720" w:hanging="720"/>
        <w:rPr>
          <w:rFonts w:ascii="Times New Roman" w:hAnsi="Times New Roman"/>
          <w:sz w:val="24"/>
          <w:szCs w:val="24"/>
        </w:rPr>
      </w:pPr>
      <w:r w:rsidRPr="00065F9E">
        <w:rPr>
          <w:rFonts w:ascii="Times New Roman" w:eastAsia="Arial" w:hAnsi="Times New Roman"/>
          <w:sz w:val="24"/>
          <w:szCs w:val="24"/>
        </w:rPr>
        <w:t xml:space="preserve">Katila, R. (2000). Using patent data to measure innovation performance. </w:t>
      </w:r>
      <w:r w:rsidRPr="00065F9E">
        <w:rPr>
          <w:rFonts w:ascii="Times New Roman" w:eastAsia="Arial" w:hAnsi="Times New Roman"/>
          <w:i/>
          <w:iCs/>
          <w:sz w:val="24"/>
          <w:szCs w:val="24"/>
        </w:rPr>
        <w:t>International Journal of Business Performance Management</w:t>
      </w:r>
      <w:r w:rsidRPr="00065F9E">
        <w:rPr>
          <w:rFonts w:ascii="Times New Roman" w:eastAsia="Arial" w:hAnsi="Times New Roman"/>
          <w:sz w:val="24"/>
          <w:szCs w:val="24"/>
        </w:rPr>
        <w:t xml:space="preserve">, </w:t>
      </w:r>
      <w:r w:rsidRPr="00065F9E">
        <w:rPr>
          <w:rFonts w:ascii="Times New Roman" w:eastAsia="Arial" w:hAnsi="Times New Roman"/>
          <w:i/>
          <w:iCs/>
          <w:sz w:val="24"/>
          <w:szCs w:val="24"/>
        </w:rPr>
        <w:t>2</w:t>
      </w:r>
      <w:r w:rsidRPr="00065F9E">
        <w:rPr>
          <w:rFonts w:ascii="Times New Roman" w:eastAsia="Arial" w:hAnsi="Times New Roman"/>
          <w:sz w:val="24"/>
          <w:szCs w:val="24"/>
        </w:rPr>
        <w:t xml:space="preserve">(1-3), 180-193. </w:t>
      </w:r>
      <w:hyperlink r:id="rId11">
        <w:r w:rsidRPr="00065F9E">
          <w:rPr>
            <w:rStyle w:val="Hyperlink"/>
            <w:rFonts w:ascii="Times New Roman" w:eastAsia="Helvetica Neue" w:hAnsi="Times New Roman"/>
            <w:sz w:val="24"/>
            <w:szCs w:val="24"/>
          </w:rPr>
          <w:t>doi.org/10.1504/IJBPM.2000.000072</w:t>
        </w:r>
      </w:hyperlink>
      <w:r w:rsidRPr="00065F9E">
        <w:rPr>
          <w:rFonts w:ascii="Times New Roman" w:eastAsia="Helvetica Neue" w:hAnsi="Times New Roman"/>
          <w:sz w:val="24"/>
          <w:szCs w:val="24"/>
        </w:rPr>
        <w:t xml:space="preserve"> </w:t>
      </w:r>
    </w:p>
    <w:p w14:paraId="39BE0953" w14:textId="77777777" w:rsidR="00A72E7D" w:rsidRPr="00065F9E" w:rsidRDefault="00A72E7D" w:rsidP="00A72E7D">
      <w:pPr>
        <w:spacing w:after="0" w:line="240" w:lineRule="auto"/>
        <w:ind w:left="720" w:hanging="720"/>
        <w:rPr>
          <w:rFonts w:ascii="Times New Roman" w:eastAsia="Times New Roman" w:hAnsi="Times New Roman"/>
          <w:sz w:val="24"/>
          <w:szCs w:val="24"/>
        </w:rPr>
      </w:pPr>
      <w:proofErr w:type="spellStart"/>
      <w:r w:rsidRPr="00065F9E">
        <w:rPr>
          <w:rFonts w:ascii="Times New Roman" w:eastAsia="Times New Roman" w:hAnsi="Times New Roman"/>
          <w:sz w:val="24"/>
          <w:szCs w:val="24"/>
          <w:shd w:val="clear" w:color="auto" w:fill="FFFFFF"/>
        </w:rPr>
        <w:t>Keist</w:t>
      </w:r>
      <w:proofErr w:type="spellEnd"/>
      <w:r w:rsidRPr="00065F9E">
        <w:rPr>
          <w:rFonts w:ascii="Times New Roman" w:eastAsia="Times New Roman" w:hAnsi="Times New Roman"/>
          <w:sz w:val="24"/>
          <w:szCs w:val="24"/>
          <w:shd w:val="clear" w:color="auto" w:fill="FFFFFF"/>
        </w:rPr>
        <w:t xml:space="preserve">, C. N., &amp; </w:t>
      </w:r>
      <w:proofErr w:type="spellStart"/>
      <w:r w:rsidRPr="00065F9E">
        <w:rPr>
          <w:rFonts w:ascii="Times New Roman" w:eastAsia="Times New Roman" w:hAnsi="Times New Roman"/>
          <w:sz w:val="24"/>
          <w:szCs w:val="24"/>
          <w:shd w:val="clear" w:color="auto" w:fill="FFFFFF"/>
        </w:rPr>
        <w:t>Marcketti</w:t>
      </w:r>
      <w:proofErr w:type="spellEnd"/>
      <w:r w:rsidRPr="00065F9E">
        <w:rPr>
          <w:rFonts w:ascii="Times New Roman" w:eastAsia="Times New Roman" w:hAnsi="Times New Roman"/>
          <w:sz w:val="24"/>
          <w:szCs w:val="24"/>
          <w:shd w:val="clear" w:color="auto" w:fill="FFFFFF"/>
        </w:rPr>
        <w:t>, S. B. (2019). Supporting Acts: Patents for Undergarments for Stout Women, 1891–1956. </w:t>
      </w:r>
      <w:r w:rsidRPr="00065F9E">
        <w:rPr>
          <w:rFonts w:ascii="Times New Roman" w:eastAsia="Times New Roman" w:hAnsi="Times New Roman"/>
          <w:i/>
          <w:iCs/>
          <w:sz w:val="24"/>
          <w:szCs w:val="24"/>
          <w:shd w:val="clear" w:color="auto" w:fill="FFFFFF"/>
        </w:rPr>
        <w:t>Clothing and Textiles Research Journal</w:t>
      </w:r>
      <w:r w:rsidRPr="00065F9E">
        <w:rPr>
          <w:rFonts w:ascii="Times New Roman" w:eastAsia="Times New Roman" w:hAnsi="Times New Roman"/>
          <w:sz w:val="24"/>
          <w:szCs w:val="24"/>
          <w:shd w:val="clear" w:color="auto" w:fill="FFFFFF"/>
        </w:rPr>
        <w:t>, </w:t>
      </w:r>
      <w:r w:rsidRPr="00065F9E">
        <w:rPr>
          <w:rFonts w:ascii="Times New Roman" w:eastAsia="Times New Roman" w:hAnsi="Times New Roman"/>
          <w:i/>
          <w:iCs/>
          <w:sz w:val="24"/>
          <w:szCs w:val="24"/>
          <w:shd w:val="clear" w:color="auto" w:fill="FFFFFF"/>
        </w:rPr>
        <w:t>37</w:t>
      </w:r>
      <w:r w:rsidRPr="00065F9E">
        <w:rPr>
          <w:rFonts w:ascii="Times New Roman" w:eastAsia="Times New Roman" w:hAnsi="Times New Roman"/>
          <w:sz w:val="24"/>
          <w:szCs w:val="24"/>
          <w:shd w:val="clear" w:color="auto" w:fill="FFFFFF"/>
        </w:rPr>
        <w:t>(3), 200-214.</w:t>
      </w:r>
    </w:p>
    <w:p w14:paraId="4A787D3C" w14:textId="77777777" w:rsidR="00A72E7D" w:rsidRPr="00065F9E" w:rsidRDefault="00A72E7D" w:rsidP="00A72E7D">
      <w:pPr>
        <w:spacing w:after="0" w:line="240" w:lineRule="auto"/>
        <w:ind w:left="720" w:hanging="720"/>
        <w:rPr>
          <w:rFonts w:ascii="Times New Roman" w:eastAsia="Times New Roman" w:hAnsi="Times New Roman"/>
          <w:sz w:val="24"/>
          <w:szCs w:val="24"/>
        </w:rPr>
      </w:pPr>
      <w:proofErr w:type="spellStart"/>
      <w:r w:rsidRPr="00065F9E">
        <w:rPr>
          <w:rFonts w:ascii="Times New Roman" w:eastAsia="Times New Roman" w:hAnsi="Times New Roman"/>
          <w:sz w:val="24"/>
          <w:szCs w:val="24"/>
        </w:rPr>
        <w:t>McBee</w:t>
      </w:r>
      <w:proofErr w:type="spellEnd"/>
      <w:r w:rsidRPr="00065F9E">
        <w:rPr>
          <w:rFonts w:ascii="Times New Roman" w:eastAsia="Times New Roman" w:hAnsi="Times New Roman"/>
          <w:sz w:val="24"/>
          <w:szCs w:val="24"/>
        </w:rPr>
        <w:t xml:space="preserve">-Black, K., &amp; Ha-Brookshire, J. E. (2021). "I am going to educate the industry": how an advocate became a key competitive resource for the adaptive apparel market. </w:t>
      </w:r>
      <w:r w:rsidRPr="00065F9E">
        <w:rPr>
          <w:rFonts w:ascii="Times New Roman" w:eastAsia="Times New Roman" w:hAnsi="Times New Roman"/>
          <w:i/>
          <w:iCs/>
          <w:sz w:val="24"/>
          <w:szCs w:val="24"/>
        </w:rPr>
        <w:t>Journal of Fashion Marketing and Management: An International Journal</w:t>
      </w:r>
      <w:r w:rsidRPr="00065F9E">
        <w:rPr>
          <w:rFonts w:ascii="Times New Roman" w:eastAsia="Times New Roman" w:hAnsi="Times New Roman"/>
          <w:sz w:val="24"/>
          <w:szCs w:val="24"/>
        </w:rPr>
        <w:t>.</w:t>
      </w:r>
    </w:p>
    <w:p w14:paraId="0B693699" w14:textId="77777777" w:rsidR="00A72E7D" w:rsidRPr="00065F9E" w:rsidRDefault="00A72E7D" w:rsidP="00A72E7D">
      <w:pPr>
        <w:spacing w:after="0" w:line="240" w:lineRule="auto"/>
        <w:ind w:left="720" w:hanging="720"/>
        <w:rPr>
          <w:rFonts w:ascii="Times New Roman" w:eastAsia="Times New Roman" w:hAnsi="Times New Roman"/>
          <w:sz w:val="24"/>
          <w:szCs w:val="24"/>
        </w:rPr>
      </w:pPr>
      <w:r w:rsidRPr="00065F9E">
        <w:rPr>
          <w:rFonts w:ascii="Times New Roman" w:eastAsia="Times New Roman" w:hAnsi="Times New Roman"/>
          <w:sz w:val="24"/>
          <w:szCs w:val="24"/>
        </w:rPr>
        <w:t xml:space="preserve">Moniuszko, S. M. (2018, April 4). What is adaptive apparel? Everything you need to know about the inclusive clothing trend. USA Today. </w:t>
      </w:r>
      <w:hyperlink r:id="rId12">
        <w:r w:rsidRPr="00065F9E">
          <w:rPr>
            <w:rStyle w:val="Hyperlink"/>
            <w:rFonts w:ascii="Times New Roman" w:eastAsia="Times New Roman" w:hAnsi="Times New Roman"/>
            <w:sz w:val="24"/>
            <w:szCs w:val="24"/>
          </w:rPr>
          <w:t>https://www.usatoday.com/story/life/2018/04/04/what-adaptive-apparel-everything-disability-friendly-clothes-mainstream-inclusive/1044712001/</w:t>
        </w:r>
      </w:hyperlink>
      <w:r w:rsidRPr="00065F9E">
        <w:rPr>
          <w:rFonts w:ascii="Times New Roman" w:eastAsia="Times New Roman" w:hAnsi="Times New Roman"/>
          <w:sz w:val="24"/>
          <w:szCs w:val="24"/>
        </w:rPr>
        <w:t xml:space="preserve"> </w:t>
      </w:r>
    </w:p>
    <w:p w14:paraId="4A17435E" w14:textId="012A2FC5" w:rsidR="00C85693" w:rsidRPr="00097DD9" w:rsidRDefault="00A72E7D" w:rsidP="00A72E7D">
      <w:pPr>
        <w:spacing w:after="0" w:line="240" w:lineRule="auto"/>
        <w:ind w:left="720" w:hanging="720"/>
        <w:rPr>
          <w:rFonts w:ascii="Times New Roman" w:hAnsi="Times New Roman"/>
          <w:sz w:val="24"/>
          <w:szCs w:val="24"/>
        </w:rPr>
      </w:pPr>
      <w:proofErr w:type="spellStart"/>
      <w:r w:rsidRPr="00065F9E">
        <w:rPr>
          <w:rFonts w:ascii="Times New Roman" w:eastAsia="Times New Roman" w:hAnsi="Times New Roman"/>
          <w:sz w:val="24"/>
          <w:szCs w:val="24"/>
          <w:shd w:val="clear" w:color="auto" w:fill="FFFFFF"/>
        </w:rPr>
        <w:t>Peteu</w:t>
      </w:r>
      <w:proofErr w:type="spellEnd"/>
      <w:r w:rsidRPr="00065F9E">
        <w:rPr>
          <w:rFonts w:ascii="Times New Roman" w:eastAsia="Times New Roman" w:hAnsi="Times New Roman"/>
          <w:sz w:val="24"/>
          <w:szCs w:val="24"/>
          <w:shd w:val="clear" w:color="auto" w:fill="FFFFFF"/>
        </w:rPr>
        <w:t xml:space="preserve">, M. C., &amp; </w:t>
      </w:r>
      <w:proofErr w:type="spellStart"/>
      <w:r w:rsidRPr="00065F9E">
        <w:rPr>
          <w:rFonts w:ascii="Times New Roman" w:eastAsia="Times New Roman" w:hAnsi="Times New Roman"/>
          <w:sz w:val="24"/>
          <w:szCs w:val="24"/>
          <w:shd w:val="clear" w:color="auto" w:fill="FFFFFF"/>
        </w:rPr>
        <w:t>Helvenston</w:t>
      </w:r>
      <w:proofErr w:type="spellEnd"/>
      <w:r w:rsidRPr="00065F9E">
        <w:rPr>
          <w:rFonts w:ascii="Times New Roman" w:eastAsia="Times New Roman" w:hAnsi="Times New Roman"/>
          <w:sz w:val="24"/>
          <w:szCs w:val="24"/>
          <w:shd w:val="clear" w:color="auto" w:fill="FFFFFF"/>
        </w:rPr>
        <w:t xml:space="preserve"> Gray, S. (2009). Clothing Invention: Improving the Functionality of Women's Skirts, 1846-1920. </w:t>
      </w:r>
      <w:r w:rsidRPr="00065F9E">
        <w:rPr>
          <w:rFonts w:ascii="Times New Roman" w:eastAsia="Times New Roman" w:hAnsi="Times New Roman"/>
          <w:i/>
          <w:iCs/>
          <w:sz w:val="24"/>
          <w:szCs w:val="24"/>
          <w:shd w:val="clear" w:color="auto" w:fill="FFFFFF"/>
        </w:rPr>
        <w:t>Clothing and Textiles Research Journal</w:t>
      </w:r>
      <w:r w:rsidRPr="00065F9E">
        <w:rPr>
          <w:rFonts w:ascii="Times New Roman" w:eastAsia="Times New Roman" w:hAnsi="Times New Roman"/>
          <w:sz w:val="24"/>
          <w:szCs w:val="24"/>
          <w:shd w:val="clear" w:color="auto" w:fill="FFFFFF"/>
        </w:rPr>
        <w:t>, </w:t>
      </w:r>
      <w:r w:rsidRPr="00065F9E">
        <w:rPr>
          <w:rFonts w:ascii="Times New Roman" w:eastAsia="Times New Roman" w:hAnsi="Times New Roman"/>
          <w:i/>
          <w:iCs/>
          <w:sz w:val="24"/>
          <w:szCs w:val="24"/>
          <w:shd w:val="clear" w:color="auto" w:fill="FFFFFF"/>
        </w:rPr>
        <w:t>27</w:t>
      </w:r>
      <w:r w:rsidRPr="00065F9E">
        <w:rPr>
          <w:rFonts w:ascii="Times New Roman" w:eastAsia="Times New Roman" w:hAnsi="Times New Roman"/>
          <w:sz w:val="24"/>
          <w:szCs w:val="24"/>
          <w:shd w:val="clear" w:color="auto" w:fill="FFFFFF"/>
        </w:rPr>
        <w:t xml:space="preserve">(1), 45-61. </w:t>
      </w:r>
      <w:hyperlink r:id="rId13">
        <w:r w:rsidRPr="00065F9E">
          <w:rPr>
            <w:rStyle w:val="Hyperlink"/>
            <w:rFonts w:ascii="Times New Roman" w:eastAsia="Times New Roman" w:hAnsi="Times New Roman"/>
            <w:sz w:val="24"/>
            <w:szCs w:val="24"/>
          </w:rPr>
          <w:t>https://doi.org/10.1177/0887302x08322718</w:t>
        </w:r>
      </w:hyperlink>
      <w:r w:rsidRPr="00065F9E">
        <w:rPr>
          <w:rFonts w:ascii="Times New Roman" w:eastAsia="Times New Roman" w:hAnsi="Times New Roman"/>
          <w:sz w:val="24"/>
          <w:szCs w:val="24"/>
        </w:rPr>
        <w:t xml:space="preserve"> </w:t>
      </w:r>
    </w:p>
    <w:p w14:paraId="1AB4B6D9" w14:textId="77777777" w:rsidR="00805229" w:rsidRPr="00097DD9" w:rsidRDefault="00805229" w:rsidP="00A72E7D">
      <w:pPr>
        <w:tabs>
          <w:tab w:val="left" w:pos="8265"/>
        </w:tabs>
        <w:spacing w:after="0" w:line="240" w:lineRule="auto"/>
        <w:rPr>
          <w:rFonts w:ascii="Times New Roman" w:hAnsi="Times New Roman"/>
          <w:sz w:val="24"/>
          <w:szCs w:val="24"/>
        </w:rPr>
      </w:pPr>
    </w:p>
    <w:sectPr w:rsidR="00805229" w:rsidRPr="00097DD9" w:rsidSect="00486821">
      <w:headerReference w:type="even" r:id="rId14"/>
      <w:headerReference w:type="default" r:id="rId15"/>
      <w:footerReference w:type="even" r:id="rId16"/>
      <w:footerReference w:type="default" r:id="rId17"/>
      <w:headerReference w:type="first" r:id="rId18"/>
      <w:footerReference w:type="first" r:id="rId19"/>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571F" w14:textId="77777777" w:rsidR="00174F27" w:rsidRDefault="00174F27" w:rsidP="00AF5871">
      <w:pPr>
        <w:spacing w:after="0" w:line="240" w:lineRule="auto"/>
      </w:pPr>
      <w:r>
        <w:separator/>
      </w:r>
    </w:p>
  </w:endnote>
  <w:endnote w:type="continuationSeparator" w:id="0">
    <w:p w14:paraId="29CD176B" w14:textId="77777777" w:rsidR="00174F27" w:rsidRDefault="00174F27"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929BD" w14:textId="77777777" w:rsidR="00174F27" w:rsidRDefault="00174F27" w:rsidP="00AF5871">
      <w:pPr>
        <w:spacing w:after="0" w:line="240" w:lineRule="auto"/>
      </w:pPr>
      <w:r>
        <w:separator/>
      </w:r>
    </w:p>
  </w:footnote>
  <w:footnote w:type="continuationSeparator" w:id="0">
    <w:p w14:paraId="24167F05" w14:textId="77777777" w:rsidR="00174F27" w:rsidRDefault="00174F27"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&#13;&#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&#13;&#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F501D"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4F27"/>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4A4"/>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72E7D"/>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805"/>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CDF"/>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3762"/>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character" w:customStyle="1" w:styleId="id-label">
    <w:name w:val="id-label"/>
    <w:basedOn w:val="DefaultParagraphFont"/>
    <w:rsid w:val="00A72E7D"/>
  </w:style>
  <w:style w:type="character" w:customStyle="1" w:styleId="apple-converted-space">
    <w:name w:val="apple-converted-space"/>
    <w:basedOn w:val="DefaultParagraphFont"/>
    <w:rsid w:val="00A72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wpi.2013.12.006" TargetMode="External"/><Relationship Id="rId13" Type="http://schemas.openxmlformats.org/officeDocument/2006/relationships/hyperlink" Target="https://doi.org/10.1177/0887302x0832271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satoday.com/story/life/2018/04/04/what-adaptive-apparel-everything-disability-friendly-clothes-mainstream-inclusive/10447120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04/IJBPM.2000.00007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16/j.apergo.2016.08.03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da.gov/30th_anniversar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10498</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Morris,Kristen</cp:lastModifiedBy>
  <cp:revision>2</cp:revision>
  <cp:lastPrinted>2010-03-03T19:14:00Z</cp:lastPrinted>
  <dcterms:created xsi:type="dcterms:W3CDTF">2021-12-12T23:05:00Z</dcterms:created>
  <dcterms:modified xsi:type="dcterms:W3CDTF">2021-12-12T23:05:00Z</dcterms:modified>
</cp:coreProperties>
</file>