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C2510" w14:textId="1DD7ED8F" w:rsidR="00672F2C" w:rsidRPr="00811AA6" w:rsidRDefault="00753526" w:rsidP="00753526">
      <w:pPr>
        <w:tabs>
          <w:tab w:val="left" w:pos="8265"/>
        </w:tabs>
        <w:spacing w:after="0" w:line="240" w:lineRule="auto"/>
        <w:jc w:val="center"/>
        <w:rPr>
          <w:rFonts w:ascii="Times New Roman" w:hAnsi="Times New Roman"/>
          <w:b/>
          <w:bCs/>
          <w:sz w:val="24"/>
          <w:szCs w:val="24"/>
        </w:rPr>
      </w:pPr>
      <w:r w:rsidRPr="00811AA6">
        <w:rPr>
          <w:rFonts w:ascii="Times New Roman" w:hAnsi="Times New Roman"/>
          <w:b/>
          <w:bCs/>
          <w:sz w:val="24"/>
          <w:szCs w:val="24"/>
        </w:rPr>
        <w:t>Customer’s Perspective on Service Configuration Quality in Omnichannel Fashion Department Store</w:t>
      </w:r>
    </w:p>
    <w:p w14:paraId="7C40FD64" w14:textId="77777777" w:rsidR="00340253" w:rsidRPr="00097DD9" w:rsidRDefault="00340253" w:rsidP="00097DD9">
      <w:pPr>
        <w:tabs>
          <w:tab w:val="left" w:pos="8265"/>
        </w:tabs>
        <w:spacing w:after="0" w:line="240" w:lineRule="auto"/>
        <w:rPr>
          <w:rFonts w:ascii="Times New Roman" w:hAnsi="Times New Roman"/>
          <w:sz w:val="24"/>
          <w:szCs w:val="24"/>
        </w:rPr>
      </w:pPr>
    </w:p>
    <w:p w14:paraId="1D555B9B" w14:textId="1EB28A6D" w:rsidR="00C2064D" w:rsidRDefault="00C2064D" w:rsidP="00C2064D">
      <w:pPr>
        <w:spacing w:after="0" w:line="240" w:lineRule="auto"/>
        <w:jc w:val="center"/>
        <w:rPr>
          <w:rFonts w:ascii="Times New Roman" w:hAnsi="Times New Roman"/>
          <w:sz w:val="24"/>
          <w:szCs w:val="24"/>
        </w:rPr>
      </w:pPr>
      <w:r>
        <w:rPr>
          <w:rFonts w:ascii="Times New Roman" w:hAnsi="Times New Roman"/>
          <w:sz w:val="24"/>
          <w:szCs w:val="24"/>
        </w:rPr>
        <w:t>Caroline Kopot, University of Missouri</w:t>
      </w:r>
    </w:p>
    <w:p w14:paraId="4275423A" w14:textId="77777777" w:rsidR="000B7B05" w:rsidRDefault="000B7B05" w:rsidP="00C2064D">
      <w:pPr>
        <w:spacing w:after="0" w:line="240" w:lineRule="auto"/>
        <w:jc w:val="center"/>
        <w:rPr>
          <w:rFonts w:ascii="Times New Roman" w:hAnsi="Times New Roman"/>
          <w:sz w:val="24"/>
          <w:szCs w:val="24"/>
        </w:rPr>
      </w:pPr>
    </w:p>
    <w:p w14:paraId="39F6A051" w14:textId="237829DA" w:rsidR="00C85693" w:rsidRDefault="00880018" w:rsidP="00880018">
      <w:pPr>
        <w:tabs>
          <w:tab w:val="left" w:pos="8265"/>
        </w:tabs>
        <w:spacing w:after="0" w:line="240" w:lineRule="auto"/>
        <w:jc w:val="center"/>
        <w:rPr>
          <w:rFonts w:ascii="Times New Roman" w:hAnsi="Times New Roman"/>
          <w:sz w:val="24"/>
          <w:szCs w:val="24"/>
        </w:rPr>
      </w:pPr>
      <w:r w:rsidRPr="00A27A72">
        <w:rPr>
          <w:rFonts w:ascii="Times New Roman" w:hAnsi="Times New Roman"/>
          <w:i/>
          <w:iCs/>
          <w:sz w:val="24"/>
          <w:szCs w:val="24"/>
        </w:rPr>
        <w:t>Keywords:</w:t>
      </w:r>
      <w:r w:rsidR="00AD3C4A">
        <w:rPr>
          <w:rFonts w:ascii="Times New Roman" w:hAnsi="Times New Roman"/>
          <w:i/>
          <w:iCs/>
          <w:sz w:val="24"/>
          <w:szCs w:val="24"/>
        </w:rPr>
        <w:t xml:space="preserve"> </w:t>
      </w:r>
      <w:r w:rsidR="000B7B05">
        <w:rPr>
          <w:rFonts w:ascii="Times New Roman" w:hAnsi="Times New Roman"/>
          <w:sz w:val="24"/>
          <w:szCs w:val="24"/>
        </w:rPr>
        <w:t xml:space="preserve">Omnichannel, </w:t>
      </w:r>
      <w:r w:rsidR="00AD3C4A" w:rsidRPr="00B617FC">
        <w:rPr>
          <w:rFonts w:ascii="Times New Roman" w:hAnsi="Times New Roman"/>
          <w:sz w:val="24"/>
          <w:szCs w:val="24"/>
        </w:rPr>
        <w:t xml:space="preserve">Channel </w:t>
      </w:r>
      <w:r w:rsidR="00B617FC" w:rsidRPr="00B617FC">
        <w:rPr>
          <w:rFonts w:ascii="Times New Roman" w:hAnsi="Times New Roman"/>
          <w:sz w:val="24"/>
          <w:szCs w:val="24"/>
        </w:rPr>
        <w:t>Integration</w:t>
      </w:r>
      <w:r w:rsidR="00FB71FB">
        <w:rPr>
          <w:rFonts w:ascii="Times New Roman" w:hAnsi="Times New Roman"/>
          <w:sz w:val="24"/>
          <w:szCs w:val="24"/>
        </w:rPr>
        <w:t xml:space="preserve"> Quality</w:t>
      </w:r>
      <w:r w:rsidR="00B617FC">
        <w:rPr>
          <w:rFonts w:ascii="Times New Roman" w:hAnsi="Times New Roman"/>
          <w:sz w:val="24"/>
          <w:szCs w:val="24"/>
        </w:rPr>
        <w:t xml:space="preserve">, </w:t>
      </w:r>
      <w:r w:rsidR="00643C2D">
        <w:rPr>
          <w:rFonts w:ascii="Times New Roman" w:hAnsi="Times New Roman"/>
          <w:sz w:val="24"/>
          <w:szCs w:val="24"/>
        </w:rPr>
        <w:t xml:space="preserve">Fluency, </w:t>
      </w:r>
      <w:r w:rsidR="00E511A1">
        <w:rPr>
          <w:rFonts w:ascii="Times New Roman" w:hAnsi="Times New Roman"/>
          <w:sz w:val="24"/>
          <w:szCs w:val="24"/>
        </w:rPr>
        <w:t xml:space="preserve">Brand Attitude, </w:t>
      </w:r>
      <w:r w:rsidR="00420F94">
        <w:rPr>
          <w:rFonts w:ascii="Times New Roman" w:hAnsi="Times New Roman"/>
          <w:sz w:val="24"/>
          <w:szCs w:val="24"/>
        </w:rPr>
        <w:t>Patronage Intention</w:t>
      </w:r>
      <w:r w:rsidR="000B7B05">
        <w:rPr>
          <w:rFonts w:ascii="Times New Roman" w:hAnsi="Times New Roman"/>
          <w:sz w:val="24"/>
          <w:szCs w:val="24"/>
        </w:rPr>
        <w:t>, Fashion Department Stores</w:t>
      </w:r>
    </w:p>
    <w:p w14:paraId="12ADFEBD" w14:textId="381259D9" w:rsidR="00F95B9D" w:rsidRDefault="00F95B9D" w:rsidP="00880018">
      <w:pPr>
        <w:tabs>
          <w:tab w:val="left" w:pos="8265"/>
        </w:tabs>
        <w:spacing w:after="0" w:line="240" w:lineRule="auto"/>
        <w:jc w:val="center"/>
        <w:rPr>
          <w:rFonts w:ascii="Times New Roman" w:hAnsi="Times New Roman"/>
          <w:sz w:val="24"/>
          <w:szCs w:val="24"/>
        </w:rPr>
      </w:pPr>
    </w:p>
    <w:p w14:paraId="2FDADD59" w14:textId="77777777" w:rsidR="00F95B9D" w:rsidRPr="00F95B9D" w:rsidRDefault="00F95B9D" w:rsidP="00F95B9D">
      <w:pPr>
        <w:spacing w:after="0" w:line="240" w:lineRule="auto"/>
        <w:jc w:val="center"/>
        <w:rPr>
          <w:rFonts w:ascii="Times New Roman" w:hAnsi="Times New Roman"/>
          <w:b/>
          <w:bCs/>
          <w:sz w:val="24"/>
          <w:szCs w:val="24"/>
        </w:rPr>
      </w:pPr>
      <w:r w:rsidRPr="00F95B9D">
        <w:rPr>
          <w:rFonts w:ascii="Times New Roman" w:hAnsi="Times New Roman"/>
          <w:b/>
          <w:bCs/>
          <w:sz w:val="24"/>
          <w:szCs w:val="24"/>
        </w:rPr>
        <w:t>Introduction</w:t>
      </w:r>
    </w:p>
    <w:p w14:paraId="7A6A6563" w14:textId="706E9913" w:rsidR="00F95B9D" w:rsidRDefault="00F95B9D" w:rsidP="00F95B9D">
      <w:pPr>
        <w:spacing w:afterLines="40" w:after="96" w:line="240" w:lineRule="auto"/>
        <w:rPr>
          <w:rFonts w:ascii="Times New Roman" w:hAnsi="Times New Roman"/>
          <w:sz w:val="24"/>
          <w:szCs w:val="24"/>
        </w:rPr>
      </w:pPr>
      <w:r>
        <w:rPr>
          <w:rFonts w:ascii="Times New Roman" w:hAnsi="Times New Roman"/>
          <w:sz w:val="24"/>
          <w:szCs w:val="24"/>
        </w:rPr>
        <w:tab/>
      </w:r>
      <w:r w:rsidRPr="002170C6">
        <w:rPr>
          <w:rFonts w:ascii="Times New Roman" w:hAnsi="Times New Roman"/>
          <w:sz w:val="24"/>
          <w:szCs w:val="24"/>
        </w:rPr>
        <w:t>Fashion department stores are in a volatile position in the current retail environment</w:t>
      </w:r>
      <w:r>
        <w:rPr>
          <w:rFonts w:ascii="Times New Roman" w:hAnsi="Times New Roman"/>
          <w:sz w:val="24"/>
          <w:szCs w:val="24"/>
        </w:rPr>
        <w:t xml:space="preserve">. </w:t>
      </w:r>
      <w:r w:rsidRPr="002170C6">
        <w:rPr>
          <w:rFonts w:ascii="Times New Roman" w:hAnsi="Times New Roman"/>
          <w:sz w:val="24"/>
          <w:szCs w:val="24"/>
        </w:rPr>
        <w:t>The costs to meet customers</w:t>
      </w:r>
      <w:r>
        <w:rPr>
          <w:rFonts w:ascii="Times New Roman" w:hAnsi="Times New Roman"/>
          <w:sz w:val="24"/>
          <w:szCs w:val="24"/>
        </w:rPr>
        <w:t>’</w:t>
      </w:r>
      <w:r w:rsidRPr="002170C6">
        <w:rPr>
          <w:rFonts w:ascii="Times New Roman" w:hAnsi="Times New Roman"/>
          <w:sz w:val="24"/>
          <w:szCs w:val="24"/>
        </w:rPr>
        <w:t xml:space="preserve"> demands to purchase </w:t>
      </w:r>
      <w:proofErr w:type="spellStart"/>
      <w:r w:rsidRPr="002170C6">
        <w:rPr>
          <w:rFonts w:ascii="Times New Roman" w:hAnsi="Times New Roman"/>
          <w:sz w:val="24"/>
          <w:szCs w:val="24"/>
        </w:rPr>
        <w:t>any time</w:t>
      </w:r>
      <w:proofErr w:type="spellEnd"/>
      <w:r w:rsidRPr="002170C6">
        <w:rPr>
          <w:rFonts w:ascii="Times New Roman" w:hAnsi="Times New Roman"/>
          <w:sz w:val="24"/>
          <w:szCs w:val="24"/>
        </w:rPr>
        <w:t xml:space="preserve"> and anywhere they want, combined with the costs to keep up with customers</w:t>
      </w:r>
      <w:r>
        <w:rPr>
          <w:rFonts w:ascii="Times New Roman" w:hAnsi="Times New Roman"/>
          <w:sz w:val="24"/>
          <w:szCs w:val="24"/>
        </w:rPr>
        <w:t>’</w:t>
      </w:r>
      <w:r w:rsidRPr="002170C6">
        <w:rPr>
          <w:rFonts w:ascii="Times New Roman" w:hAnsi="Times New Roman"/>
          <w:sz w:val="24"/>
          <w:szCs w:val="24"/>
        </w:rPr>
        <w:t xml:space="preserve"> other expectations, are very high</w:t>
      </w:r>
      <w:r>
        <w:rPr>
          <w:rFonts w:ascii="Times New Roman" w:hAnsi="Times New Roman"/>
          <w:sz w:val="24"/>
          <w:szCs w:val="24"/>
        </w:rPr>
        <w:t>.</w:t>
      </w:r>
      <w:r w:rsidRPr="002170C6">
        <w:rPr>
          <w:rFonts w:ascii="Times New Roman" w:hAnsi="Times New Roman"/>
          <w:sz w:val="24"/>
          <w:szCs w:val="24"/>
        </w:rPr>
        <w:t xml:space="preserve"> As a result, many </w:t>
      </w:r>
      <w:proofErr w:type="gramStart"/>
      <w:r w:rsidRPr="002170C6">
        <w:rPr>
          <w:rFonts w:ascii="Times New Roman" w:hAnsi="Times New Roman"/>
          <w:sz w:val="24"/>
          <w:szCs w:val="24"/>
        </w:rPr>
        <w:t>fashion</w:t>
      </w:r>
      <w:proofErr w:type="gramEnd"/>
      <w:r w:rsidRPr="002170C6">
        <w:rPr>
          <w:rFonts w:ascii="Times New Roman" w:hAnsi="Times New Roman"/>
          <w:sz w:val="24"/>
          <w:szCs w:val="24"/>
        </w:rPr>
        <w:t xml:space="preserve"> department stores, such as Macy</w:t>
      </w:r>
      <w:r>
        <w:rPr>
          <w:rFonts w:ascii="Times New Roman" w:hAnsi="Times New Roman"/>
          <w:sz w:val="24"/>
          <w:szCs w:val="24"/>
        </w:rPr>
        <w:t>’</w:t>
      </w:r>
      <w:r w:rsidRPr="002170C6">
        <w:rPr>
          <w:rFonts w:ascii="Times New Roman" w:hAnsi="Times New Roman"/>
          <w:sz w:val="24"/>
          <w:szCs w:val="24"/>
        </w:rPr>
        <w:t>s, Nordstrom, and Kohl</w:t>
      </w:r>
      <w:r>
        <w:rPr>
          <w:rFonts w:ascii="Times New Roman" w:hAnsi="Times New Roman"/>
          <w:sz w:val="24"/>
          <w:szCs w:val="24"/>
        </w:rPr>
        <w:t>’</w:t>
      </w:r>
      <w:r w:rsidRPr="002170C6">
        <w:rPr>
          <w:rFonts w:ascii="Times New Roman" w:hAnsi="Times New Roman"/>
          <w:sz w:val="24"/>
          <w:szCs w:val="24"/>
        </w:rPr>
        <w:t>s, have closed some of their physical stores</w:t>
      </w:r>
      <w:r w:rsidR="00B7625D">
        <w:rPr>
          <w:rFonts w:ascii="Times New Roman" w:hAnsi="Times New Roman"/>
          <w:sz w:val="24"/>
          <w:szCs w:val="24"/>
        </w:rPr>
        <w:t xml:space="preserve">. </w:t>
      </w:r>
      <w:r>
        <w:rPr>
          <w:rFonts w:ascii="Times New Roman" w:hAnsi="Times New Roman"/>
          <w:sz w:val="24"/>
          <w:szCs w:val="24"/>
        </w:rPr>
        <w:t>Fashion department</w:t>
      </w:r>
      <w:r w:rsidRPr="002170C6">
        <w:rPr>
          <w:rFonts w:ascii="Times New Roman" w:hAnsi="Times New Roman"/>
          <w:sz w:val="24"/>
          <w:szCs w:val="24"/>
        </w:rPr>
        <w:t xml:space="preserve"> </w:t>
      </w:r>
      <w:r>
        <w:rPr>
          <w:rFonts w:ascii="Times New Roman" w:hAnsi="Times New Roman"/>
          <w:sz w:val="24"/>
          <w:szCs w:val="24"/>
        </w:rPr>
        <w:t xml:space="preserve">store </w:t>
      </w:r>
      <w:r w:rsidRPr="002170C6">
        <w:rPr>
          <w:rFonts w:ascii="Times New Roman" w:hAnsi="Times New Roman"/>
          <w:sz w:val="24"/>
          <w:szCs w:val="24"/>
        </w:rPr>
        <w:t>retailers have moved their business strategy to omnichannel retailing (</w:t>
      </w:r>
      <w:proofErr w:type="spellStart"/>
      <w:r w:rsidRPr="002170C6">
        <w:rPr>
          <w:rFonts w:ascii="Times New Roman" w:hAnsi="Times New Roman"/>
          <w:sz w:val="24"/>
          <w:szCs w:val="24"/>
        </w:rPr>
        <w:t>Ailawadi</w:t>
      </w:r>
      <w:proofErr w:type="spellEnd"/>
      <w:r w:rsidRPr="002170C6">
        <w:rPr>
          <w:rFonts w:ascii="Times New Roman" w:hAnsi="Times New Roman"/>
          <w:sz w:val="24"/>
          <w:szCs w:val="24"/>
        </w:rPr>
        <w:t xml:space="preserve"> &amp; Farris, 2017; Beck &amp; </w:t>
      </w:r>
      <w:proofErr w:type="spellStart"/>
      <w:r w:rsidRPr="002170C6">
        <w:rPr>
          <w:rFonts w:ascii="Times New Roman" w:hAnsi="Times New Roman"/>
          <w:sz w:val="24"/>
          <w:szCs w:val="24"/>
        </w:rPr>
        <w:t>Rygl</w:t>
      </w:r>
      <w:proofErr w:type="spellEnd"/>
      <w:r w:rsidRPr="002170C6">
        <w:rPr>
          <w:rFonts w:ascii="Times New Roman" w:hAnsi="Times New Roman"/>
          <w:sz w:val="24"/>
          <w:szCs w:val="24"/>
        </w:rPr>
        <w:t>, 2015; Verhoef et al., 2015) to adapt to customer demands and to continue to be competitive in the market.</w:t>
      </w:r>
      <w:r>
        <w:rPr>
          <w:rFonts w:ascii="Times New Roman" w:hAnsi="Times New Roman"/>
          <w:sz w:val="24"/>
          <w:szCs w:val="24"/>
        </w:rPr>
        <w:t xml:space="preserve"> This study aims to assess customer’s perception of channel integration quality (i.e., content and process consistency), </w:t>
      </w:r>
      <w:bookmarkStart w:id="0" w:name="_Hlk68214438"/>
      <w:r>
        <w:rPr>
          <w:rFonts w:ascii="Times New Roman" w:hAnsi="Times New Roman"/>
          <w:sz w:val="24"/>
          <w:szCs w:val="24"/>
        </w:rPr>
        <w:t xml:space="preserve">behavioral beliefs (i.e., fluency), and behavioral attitude (i.e., brand attitude), </w:t>
      </w:r>
      <w:bookmarkEnd w:id="0"/>
      <w:r>
        <w:rPr>
          <w:rFonts w:ascii="Times New Roman" w:hAnsi="Times New Roman"/>
          <w:sz w:val="24"/>
          <w:szCs w:val="24"/>
        </w:rPr>
        <w:t>which consequently influence customer’s behavioral intention (i.e., patronage intention).</w:t>
      </w:r>
    </w:p>
    <w:p w14:paraId="5EC080CC" w14:textId="77777777" w:rsidR="00F95B9D" w:rsidRPr="00F95B9D" w:rsidRDefault="00F95B9D" w:rsidP="00F95B9D">
      <w:pPr>
        <w:spacing w:afterLines="40" w:after="96" w:line="240" w:lineRule="auto"/>
        <w:jc w:val="center"/>
        <w:rPr>
          <w:rFonts w:ascii="Times New Roman" w:hAnsi="Times New Roman"/>
          <w:b/>
          <w:bCs/>
          <w:sz w:val="24"/>
          <w:szCs w:val="24"/>
        </w:rPr>
      </w:pPr>
      <w:r w:rsidRPr="00F95B9D">
        <w:rPr>
          <w:rFonts w:ascii="Times New Roman" w:hAnsi="Times New Roman"/>
          <w:b/>
          <w:bCs/>
          <w:sz w:val="24"/>
          <w:szCs w:val="24"/>
        </w:rPr>
        <w:t>Literature Review</w:t>
      </w:r>
    </w:p>
    <w:p w14:paraId="1A19F970" w14:textId="76B9608D" w:rsidR="00F95B9D" w:rsidRDefault="00F95B9D" w:rsidP="00F95B9D">
      <w:pPr>
        <w:spacing w:afterLines="40" w:after="96" w:line="240" w:lineRule="auto"/>
        <w:rPr>
          <w:rFonts w:ascii="Times New Roman" w:hAnsi="Times New Roman"/>
          <w:sz w:val="24"/>
          <w:szCs w:val="24"/>
        </w:rPr>
      </w:pPr>
      <w:r>
        <w:rPr>
          <w:rFonts w:ascii="Times New Roman" w:hAnsi="Times New Roman"/>
          <w:sz w:val="24"/>
          <w:szCs w:val="24"/>
        </w:rPr>
        <w:tab/>
      </w:r>
      <w:r w:rsidRPr="002170C6">
        <w:rPr>
          <w:rFonts w:ascii="Times New Roman" w:hAnsi="Times New Roman"/>
          <w:sz w:val="24"/>
          <w:szCs w:val="24"/>
        </w:rPr>
        <w:t>Channel integration quality has been regarded as the key success factor in managing customer relationships across all channels (</w:t>
      </w:r>
      <w:proofErr w:type="spellStart"/>
      <w:r>
        <w:rPr>
          <w:rFonts w:ascii="Times New Roman" w:hAnsi="Times New Roman"/>
          <w:sz w:val="24"/>
          <w:szCs w:val="24"/>
        </w:rPr>
        <w:t>Neslin</w:t>
      </w:r>
      <w:proofErr w:type="spellEnd"/>
      <w:r>
        <w:rPr>
          <w:rFonts w:ascii="Times New Roman" w:hAnsi="Times New Roman"/>
          <w:sz w:val="24"/>
          <w:szCs w:val="24"/>
        </w:rPr>
        <w:t xml:space="preserve"> et al., 2006</w:t>
      </w:r>
      <w:r w:rsidRPr="002170C6">
        <w:rPr>
          <w:rFonts w:ascii="Times New Roman" w:hAnsi="Times New Roman"/>
          <w:sz w:val="24"/>
          <w:szCs w:val="24"/>
        </w:rPr>
        <w:t xml:space="preserve">). Channel integration can refer to any or </w:t>
      </w:r>
      <w:proofErr w:type="gramStart"/>
      <w:r w:rsidRPr="002170C6">
        <w:rPr>
          <w:rFonts w:ascii="Times New Roman" w:hAnsi="Times New Roman"/>
          <w:sz w:val="24"/>
          <w:szCs w:val="24"/>
        </w:rPr>
        <w:t>all of</w:t>
      </w:r>
      <w:proofErr w:type="gramEnd"/>
      <w:r w:rsidRPr="002170C6">
        <w:rPr>
          <w:rFonts w:ascii="Times New Roman" w:hAnsi="Times New Roman"/>
          <w:sz w:val="24"/>
          <w:szCs w:val="24"/>
        </w:rPr>
        <w:t xml:space="preserve"> the retailer</w:t>
      </w:r>
      <w:r>
        <w:rPr>
          <w:rFonts w:ascii="Times New Roman" w:hAnsi="Times New Roman"/>
          <w:sz w:val="24"/>
          <w:szCs w:val="24"/>
        </w:rPr>
        <w:t>’</w:t>
      </w:r>
      <w:r w:rsidRPr="002170C6">
        <w:rPr>
          <w:rFonts w:ascii="Times New Roman" w:hAnsi="Times New Roman"/>
          <w:sz w:val="24"/>
          <w:szCs w:val="24"/>
        </w:rPr>
        <w:t>s channels, the retailer</w:t>
      </w:r>
      <w:r>
        <w:rPr>
          <w:rFonts w:ascii="Times New Roman" w:hAnsi="Times New Roman"/>
          <w:sz w:val="24"/>
          <w:szCs w:val="24"/>
        </w:rPr>
        <w:t>’</w:t>
      </w:r>
      <w:r w:rsidRPr="002170C6">
        <w:rPr>
          <w:rFonts w:ascii="Times New Roman" w:hAnsi="Times New Roman"/>
          <w:sz w:val="24"/>
          <w:szCs w:val="24"/>
        </w:rPr>
        <w:t xml:space="preserve">s media, the fulfillment mode, the website, and/or the physical stores. </w:t>
      </w:r>
      <w:r>
        <w:rPr>
          <w:rFonts w:ascii="Times New Roman" w:hAnsi="Times New Roman"/>
          <w:sz w:val="24"/>
          <w:szCs w:val="24"/>
        </w:rPr>
        <w:t xml:space="preserve">The first component of channel integration quality is content consistency, representing the </w:t>
      </w:r>
      <w:r w:rsidRPr="002170C6">
        <w:rPr>
          <w:rFonts w:ascii="Times New Roman" w:hAnsi="Times New Roman"/>
          <w:sz w:val="24"/>
          <w:szCs w:val="24"/>
        </w:rPr>
        <w:t>consistency of information features across the different channels</w:t>
      </w:r>
      <w:r>
        <w:rPr>
          <w:rFonts w:ascii="Times New Roman" w:hAnsi="Times New Roman"/>
          <w:sz w:val="24"/>
          <w:szCs w:val="24"/>
        </w:rPr>
        <w:t xml:space="preserve"> (i.e., product description across all channels). The second component is process consistency that represents</w:t>
      </w:r>
      <w:r w:rsidRPr="002170C6">
        <w:rPr>
          <w:rFonts w:ascii="Times New Roman" w:hAnsi="Times New Roman"/>
          <w:sz w:val="24"/>
          <w:szCs w:val="24"/>
        </w:rPr>
        <w:t xml:space="preserve"> the consistency of process features across different channels</w:t>
      </w:r>
      <w:r>
        <w:rPr>
          <w:rFonts w:ascii="Times New Roman" w:hAnsi="Times New Roman"/>
          <w:sz w:val="24"/>
          <w:szCs w:val="24"/>
        </w:rPr>
        <w:t xml:space="preserve"> (i.e.,</w:t>
      </w:r>
      <w:r w:rsidRPr="002170C6">
        <w:rPr>
          <w:rFonts w:ascii="Times New Roman" w:hAnsi="Times New Roman"/>
          <w:sz w:val="24"/>
          <w:szCs w:val="24"/>
        </w:rPr>
        <w:t xml:space="preserve"> process features in the omnichannel retail environment are a retailer</w:t>
      </w:r>
      <w:r>
        <w:rPr>
          <w:rFonts w:ascii="Times New Roman" w:hAnsi="Times New Roman"/>
          <w:sz w:val="24"/>
          <w:szCs w:val="24"/>
        </w:rPr>
        <w:t>’</w:t>
      </w:r>
      <w:r w:rsidRPr="002170C6">
        <w:rPr>
          <w:rFonts w:ascii="Times New Roman" w:hAnsi="Times New Roman"/>
          <w:sz w:val="24"/>
          <w:szCs w:val="24"/>
        </w:rPr>
        <w:t>s website and that retailer</w:t>
      </w:r>
      <w:r>
        <w:rPr>
          <w:rFonts w:ascii="Times New Roman" w:hAnsi="Times New Roman"/>
          <w:sz w:val="24"/>
          <w:szCs w:val="24"/>
        </w:rPr>
        <w:t>’</w:t>
      </w:r>
      <w:r w:rsidRPr="002170C6">
        <w:rPr>
          <w:rFonts w:ascii="Times New Roman" w:hAnsi="Times New Roman"/>
          <w:sz w:val="24"/>
          <w:szCs w:val="24"/>
        </w:rPr>
        <w:t>s app</w:t>
      </w:r>
      <w:r>
        <w:rPr>
          <w:rFonts w:ascii="Times New Roman" w:hAnsi="Times New Roman"/>
          <w:sz w:val="24"/>
          <w:szCs w:val="24"/>
        </w:rPr>
        <w:t xml:space="preserve">). </w:t>
      </w:r>
      <w:r w:rsidRPr="002170C6">
        <w:rPr>
          <w:rFonts w:ascii="Times New Roman" w:hAnsi="Times New Roman"/>
          <w:sz w:val="24"/>
          <w:szCs w:val="24"/>
        </w:rPr>
        <w:t>Behavioral beliefs were described as the users</w:t>
      </w:r>
      <w:r>
        <w:rPr>
          <w:rFonts w:ascii="Times New Roman" w:hAnsi="Times New Roman"/>
          <w:sz w:val="24"/>
          <w:szCs w:val="24"/>
        </w:rPr>
        <w:t>’</w:t>
      </w:r>
      <w:r w:rsidRPr="002170C6">
        <w:rPr>
          <w:rFonts w:ascii="Times New Roman" w:hAnsi="Times New Roman"/>
          <w:sz w:val="24"/>
          <w:szCs w:val="24"/>
        </w:rPr>
        <w:t xml:space="preserve"> perceptions of the fluency of </w:t>
      </w:r>
      <w:r>
        <w:rPr>
          <w:rFonts w:ascii="Times New Roman" w:hAnsi="Times New Roman"/>
          <w:sz w:val="24"/>
          <w:szCs w:val="24"/>
        </w:rPr>
        <w:t>information processing</w:t>
      </w:r>
      <w:r w:rsidRPr="002170C6">
        <w:rPr>
          <w:rFonts w:ascii="Times New Roman" w:hAnsi="Times New Roman"/>
          <w:sz w:val="24"/>
          <w:szCs w:val="24"/>
        </w:rPr>
        <w:t xml:space="preserve"> in previous research about IT</w:t>
      </w:r>
      <w:r>
        <w:rPr>
          <w:rFonts w:ascii="Times New Roman" w:hAnsi="Times New Roman"/>
          <w:sz w:val="24"/>
          <w:szCs w:val="24"/>
        </w:rPr>
        <w:t xml:space="preserve"> </w:t>
      </w:r>
      <w:r w:rsidRPr="002170C6">
        <w:rPr>
          <w:rFonts w:ascii="Times New Roman" w:hAnsi="Times New Roman"/>
          <w:sz w:val="24"/>
          <w:szCs w:val="24"/>
        </w:rPr>
        <w:t>(Lee &amp; Choi, 2019).</w:t>
      </w:r>
      <w:r>
        <w:rPr>
          <w:rFonts w:ascii="Times New Roman" w:hAnsi="Times New Roman"/>
          <w:sz w:val="24"/>
          <w:szCs w:val="24"/>
        </w:rPr>
        <w:t xml:space="preserve"> </w:t>
      </w:r>
      <w:r w:rsidRPr="002170C6">
        <w:rPr>
          <w:rFonts w:ascii="Times New Roman" w:hAnsi="Times New Roman"/>
          <w:sz w:val="24"/>
          <w:szCs w:val="24"/>
        </w:rPr>
        <w:t>In omnichannel retailing, fluency factors have been described as influenced by users</w:t>
      </w:r>
      <w:r>
        <w:rPr>
          <w:rFonts w:ascii="Times New Roman" w:hAnsi="Times New Roman"/>
          <w:sz w:val="24"/>
          <w:szCs w:val="24"/>
        </w:rPr>
        <w:t>’</w:t>
      </w:r>
      <w:r w:rsidRPr="002170C6">
        <w:rPr>
          <w:rFonts w:ascii="Times New Roman" w:hAnsi="Times New Roman"/>
          <w:sz w:val="24"/>
          <w:szCs w:val="24"/>
        </w:rPr>
        <w:t xml:space="preserve"> cognitive perceptions, trust, attitudes, and choice outcome judgments (Kahn, 2017; </w:t>
      </w:r>
      <w:proofErr w:type="spellStart"/>
      <w:r w:rsidRPr="002170C6">
        <w:rPr>
          <w:rFonts w:ascii="Times New Roman" w:hAnsi="Times New Roman"/>
          <w:sz w:val="24"/>
          <w:szCs w:val="24"/>
        </w:rPr>
        <w:t>Mosteller</w:t>
      </w:r>
      <w:proofErr w:type="spellEnd"/>
      <w:r w:rsidRPr="002170C6">
        <w:rPr>
          <w:rFonts w:ascii="Times New Roman" w:hAnsi="Times New Roman"/>
          <w:sz w:val="24"/>
          <w:szCs w:val="24"/>
        </w:rPr>
        <w:t xml:space="preserve"> et al., 2014).</w:t>
      </w:r>
      <w:r>
        <w:rPr>
          <w:rFonts w:ascii="Times New Roman" w:hAnsi="Times New Roman"/>
          <w:sz w:val="24"/>
          <w:szCs w:val="24"/>
        </w:rPr>
        <w:t xml:space="preserve"> Behavioral attitude in the context of omnichannel retailing, we represent </w:t>
      </w:r>
      <w:r w:rsidRPr="002170C6">
        <w:rPr>
          <w:rFonts w:ascii="Times New Roman" w:hAnsi="Times New Roman"/>
          <w:sz w:val="24"/>
          <w:szCs w:val="24"/>
        </w:rPr>
        <w:t>as brand attitude</w:t>
      </w:r>
      <w:r>
        <w:rPr>
          <w:rFonts w:ascii="Times New Roman" w:hAnsi="Times New Roman"/>
          <w:sz w:val="24"/>
          <w:szCs w:val="24"/>
        </w:rPr>
        <w:t>. A brand’s strength</w:t>
      </w:r>
      <w:r w:rsidRPr="002170C6">
        <w:rPr>
          <w:rFonts w:ascii="Times New Roman" w:hAnsi="Times New Roman"/>
          <w:sz w:val="24"/>
          <w:szCs w:val="24"/>
        </w:rPr>
        <w:t xml:space="preserve"> depends on what customers have experienced in the past with the brand</w:t>
      </w:r>
      <w:r w:rsidR="00EA25D1">
        <w:rPr>
          <w:rFonts w:ascii="Times New Roman" w:hAnsi="Times New Roman"/>
          <w:sz w:val="24"/>
          <w:szCs w:val="24"/>
        </w:rPr>
        <w:t>.</w:t>
      </w:r>
      <w:r w:rsidRPr="002170C6">
        <w:t xml:space="preserve"> </w:t>
      </w:r>
      <w:r w:rsidRPr="002170C6">
        <w:rPr>
          <w:rFonts w:ascii="Times New Roman" w:hAnsi="Times New Roman"/>
          <w:sz w:val="24"/>
          <w:szCs w:val="24"/>
        </w:rPr>
        <w:t>The customers</w:t>
      </w:r>
      <w:r>
        <w:rPr>
          <w:rFonts w:ascii="Times New Roman" w:hAnsi="Times New Roman"/>
          <w:sz w:val="24"/>
          <w:szCs w:val="24"/>
        </w:rPr>
        <w:t>’</w:t>
      </w:r>
      <w:r w:rsidRPr="002170C6">
        <w:rPr>
          <w:rFonts w:ascii="Times New Roman" w:hAnsi="Times New Roman"/>
          <w:sz w:val="24"/>
          <w:szCs w:val="24"/>
        </w:rPr>
        <w:t xml:space="preserve"> attitude toward a brand shapes their behavior toward the brand, which affects p</w:t>
      </w:r>
      <w:r>
        <w:rPr>
          <w:rFonts w:ascii="Times New Roman" w:hAnsi="Times New Roman"/>
          <w:sz w:val="24"/>
          <w:szCs w:val="24"/>
        </w:rPr>
        <w:t>atronage</w:t>
      </w:r>
      <w:r w:rsidRPr="002170C6">
        <w:rPr>
          <w:rFonts w:ascii="Times New Roman" w:hAnsi="Times New Roman"/>
          <w:sz w:val="24"/>
          <w:szCs w:val="24"/>
        </w:rPr>
        <w:t xml:space="preserve"> intentions (de Villiers et al., 2018).</w:t>
      </w:r>
      <w:r>
        <w:rPr>
          <w:rFonts w:ascii="Times New Roman" w:hAnsi="Times New Roman"/>
          <w:sz w:val="24"/>
          <w:szCs w:val="24"/>
        </w:rPr>
        <w:t xml:space="preserve"> </w:t>
      </w:r>
      <w:r w:rsidRPr="002170C6">
        <w:rPr>
          <w:rFonts w:ascii="Times New Roman" w:hAnsi="Times New Roman"/>
          <w:sz w:val="24"/>
          <w:szCs w:val="24"/>
        </w:rPr>
        <w:t>Patronage intention is an indicator of whether a customer will visit, re-visit, or not visit a store at all (Kim &amp; Lennon, 2008).</w:t>
      </w:r>
      <w:r>
        <w:rPr>
          <w:rFonts w:ascii="Times New Roman" w:hAnsi="Times New Roman"/>
          <w:sz w:val="24"/>
          <w:szCs w:val="24"/>
        </w:rPr>
        <w:t xml:space="preserve"> </w:t>
      </w:r>
    </w:p>
    <w:p w14:paraId="718303AB" w14:textId="41547B48" w:rsidR="00F95B9D" w:rsidRDefault="00F95B9D" w:rsidP="00F95B9D">
      <w:pPr>
        <w:spacing w:afterLines="40" w:after="96" w:line="240" w:lineRule="auto"/>
        <w:rPr>
          <w:rFonts w:ascii="Times New Roman" w:hAnsi="Times New Roman"/>
          <w:sz w:val="24"/>
          <w:szCs w:val="24"/>
        </w:rPr>
      </w:pPr>
      <w:r>
        <w:rPr>
          <w:rFonts w:ascii="Times New Roman" w:hAnsi="Times New Roman"/>
          <w:sz w:val="24"/>
          <w:szCs w:val="24"/>
        </w:rPr>
        <w:tab/>
      </w:r>
      <w:r w:rsidRPr="002170C6">
        <w:rPr>
          <w:rFonts w:ascii="Times New Roman" w:hAnsi="Times New Roman"/>
          <w:sz w:val="24"/>
          <w:szCs w:val="24"/>
        </w:rPr>
        <w:t>Theory of Reasoned Action (Fishbein, 1967)</w:t>
      </w:r>
      <w:r>
        <w:rPr>
          <w:rFonts w:ascii="Times New Roman" w:hAnsi="Times New Roman"/>
          <w:sz w:val="24"/>
          <w:szCs w:val="24"/>
        </w:rPr>
        <w:t xml:space="preserve"> distinguishes</w:t>
      </w:r>
      <w:r w:rsidRPr="002170C6">
        <w:rPr>
          <w:rFonts w:ascii="Times New Roman" w:hAnsi="Times New Roman"/>
          <w:sz w:val="24"/>
          <w:szCs w:val="24"/>
        </w:rPr>
        <w:t xml:space="preserve"> attitudes toward an object and attitudes toward behaviors (or behavioral beliefs)</w:t>
      </w:r>
      <w:r>
        <w:rPr>
          <w:rFonts w:ascii="Times New Roman" w:hAnsi="Times New Roman"/>
          <w:sz w:val="24"/>
          <w:szCs w:val="24"/>
        </w:rPr>
        <w:t xml:space="preserve">. The theory explains that customers’ brand </w:t>
      </w:r>
      <w:r>
        <w:rPr>
          <w:rFonts w:ascii="Times New Roman" w:hAnsi="Times New Roman"/>
          <w:sz w:val="24"/>
          <w:szCs w:val="24"/>
        </w:rPr>
        <w:lastRenderedPageBreak/>
        <w:t xml:space="preserve">attitude comes from their beliefs from </w:t>
      </w:r>
      <w:proofErr w:type="gramStart"/>
      <w:r>
        <w:rPr>
          <w:rFonts w:ascii="Times New Roman" w:hAnsi="Times New Roman"/>
          <w:sz w:val="24"/>
          <w:szCs w:val="24"/>
        </w:rPr>
        <w:t>past experience</w:t>
      </w:r>
      <w:proofErr w:type="gramEnd"/>
      <w:r>
        <w:rPr>
          <w:rFonts w:ascii="Times New Roman" w:hAnsi="Times New Roman"/>
          <w:sz w:val="24"/>
          <w:szCs w:val="24"/>
        </w:rPr>
        <w:t xml:space="preserve"> with the brand, thus formulate their intention (Kim &amp; </w:t>
      </w:r>
      <w:proofErr w:type="spellStart"/>
      <w:r>
        <w:rPr>
          <w:rFonts w:ascii="Times New Roman" w:hAnsi="Times New Roman"/>
          <w:sz w:val="24"/>
          <w:szCs w:val="24"/>
        </w:rPr>
        <w:t>Karpova</w:t>
      </w:r>
      <w:proofErr w:type="spellEnd"/>
      <w:r>
        <w:rPr>
          <w:rFonts w:ascii="Times New Roman" w:hAnsi="Times New Roman"/>
          <w:sz w:val="24"/>
          <w:szCs w:val="24"/>
        </w:rPr>
        <w:t xml:space="preserve">, 2020). </w:t>
      </w:r>
      <w:r w:rsidRPr="002170C6">
        <w:rPr>
          <w:rFonts w:ascii="Times New Roman" w:hAnsi="Times New Roman"/>
          <w:sz w:val="24"/>
          <w:szCs w:val="24"/>
        </w:rPr>
        <w:t>Because consumer perceptions of omnichannel retailing are heavily influenced by technology</w:t>
      </w:r>
      <w:r>
        <w:rPr>
          <w:rFonts w:ascii="Times New Roman" w:hAnsi="Times New Roman"/>
          <w:sz w:val="24"/>
          <w:szCs w:val="24"/>
        </w:rPr>
        <w:t xml:space="preserve">, we integrate the IT framework that was developed by Shen et al. (2018) </w:t>
      </w:r>
      <w:r w:rsidRPr="002170C6">
        <w:rPr>
          <w:rFonts w:ascii="Times New Roman" w:hAnsi="Times New Roman"/>
          <w:sz w:val="24"/>
          <w:szCs w:val="24"/>
        </w:rPr>
        <w:t>for use in the omnichannel retailing research environment</w:t>
      </w:r>
      <w:r>
        <w:rPr>
          <w:rFonts w:ascii="Times New Roman" w:hAnsi="Times New Roman"/>
          <w:sz w:val="24"/>
          <w:szCs w:val="24"/>
        </w:rPr>
        <w:t>. Therefore, the following hypotheses were suggested.</w:t>
      </w:r>
    </w:p>
    <w:p w14:paraId="4A30A9FC" w14:textId="77777777" w:rsidR="00F95B9D" w:rsidRDefault="00F95B9D" w:rsidP="00F95B9D">
      <w:pPr>
        <w:spacing w:after="40" w:line="240" w:lineRule="auto"/>
        <w:rPr>
          <w:rFonts w:ascii="Times New Roman" w:hAnsi="Times New Roman"/>
          <w:sz w:val="24"/>
          <w:szCs w:val="24"/>
        </w:rPr>
      </w:pPr>
      <w:r>
        <w:rPr>
          <w:rFonts w:ascii="Times New Roman" w:hAnsi="Times New Roman"/>
          <w:i/>
          <w:iCs/>
          <w:sz w:val="24"/>
          <w:szCs w:val="24"/>
        </w:rPr>
        <w:t>H1</w:t>
      </w:r>
      <w:r>
        <w:rPr>
          <w:rFonts w:ascii="Times New Roman" w:hAnsi="Times New Roman"/>
          <w:sz w:val="24"/>
          <w:szCs w:val="24"/>
        </w:rPr>
        <w:t>: Content consistency has a positive effect on customer’s perception of fluency.</w:t>
      </w:r>
    </w:p>
    <w:p w14:paraId="47F613EB" w14:textId="77777777" w:rsidR="00F95B9D" w:rsidRPr="007A4F79" w:rsidRDefault="00F95B9D" w:rsidP="00F95B9D">
      <w:pPr>
        <w:spacing w:after="40" w:line="240" w:lineRule="auto"/>
        <w:rPr>
          <w:rFonts w:ascii="Times New Roman" w:hAnsi="Times New Roman"/>
          <w:sz w:val="24"/>
          <w:szCs w:val="24"/>
        </w:rPr>
      </w:pPr>
      <w:r>
        <w:rPr>
          <w:rFonts w:ascii="Times New Roman" w:hAnsi="Times New Roman"/>
          <w:i/>
          <w:iCs/>
          <w:sz w:val="24"/>
          <w:szCs w:val="24"/>
        </w:rPr>
        <w:t>H2</w:t>
      </w:r>
      <w:r>
        <w:rPr>
          <w:rFonts w:ascii="Times New Roman" w:hAnsi="Times New Roman"/>
          <w:sz w:val="24"/>
          <w:szCs w:val="24"/>
        </w:rPr>
        <w:t>: Process consistency has a positive effect on customer’s perception of fluency.</w:t>
      </w:r>
    </w:p>
    <w:p w14:paraId="46670360" w14:textId="77777777" w:rsidR="00F95B9D" w:rsidRPr="007A4F79" w:rsidRDefault="00F95B9D" w:rsidP="00F95B9D">
      <w:pPr>
        <w:spacing w:after="40" w:line="240" w:lineRule="auto"/>
        <w:rPr>
          <w:rFonts w:ascii="Times New Roman" w:hAnsi="Times New Roman"/>
          <w:sz w:val="24"/>
          <w:szCs w:val="24"/>
        </w:rPr>
      </w:pPr>
      <w:r>
        <w:rPr>
          <w:rFonts w:ascii="Times New Roman" w:hAnsi="Times New Roman"/>
          <w:i/>
          <w:iCs/>
          <w:sz w:val="24"/>
          <w:szCs w:val="24"/>
        </w:rPr>
        <w:t>H3</w:t>
      </w:r>
      <w:r>
        <w:rPr>
          <w:rFonts w:ascii="Times New Roman" w:hAnsi="Times New Roman"/>
          <w:sz w:val="24"/>
          <w:szCs w:val="24"/>
        </w:rPr>
        <w:t>: Perception of fluency has a direct positive effect on customer’s patronage intention.</w:t>
      </w:r>
    </w:p>
    <w:p w14:paraId="78F94E04" w14:textId="77777777" w:rsidR="00F95B9D" w:rsidRDefault="00F95B9D" w:rsidP="00F95B9D">
      <w:pPr>
        <w:spacing w:after="40" w:line="240" w:lineRule="auto"/>
        <w:rPr>
          <w:rFonts w:ascii="Times New Roman" w:hAnsi="Times New Roman"/>
          <w:i/>
          <w:iCs/>
          <w:sz w:val="24"/>
          <w:szCs w:val="24"/>
        </w:rPr>
      </w:pPr>
      <w:r>
        <w:rPr>
          <w:rFonts w:ascii="Times New Roman" w:hAnsi="Times New Roman"/>
          <w:i/>
          <w:iCs/>
          <w:sz w:val="24"/>
          <w:szCs w:val="24"/>
        </w:rPr>
        <w:t>H4</w:t>
      </w:r>
      <w:r w:rsidRPr="007A4F79">
        <w:rPr>
          <w:rFonts w:ascii="Times New Roman" w:hAnsi="Times New Roman"/>
          <w:sz w:val="24"/>
          <w:szCs w:val="24"/>
        </w:rPr>
        <w:t>:</w:t>
      </w:r>
      <w:r>
        <w:rPr>
          <w:rFonts w:ascii="Times New Roman" w:hAnsi="Times New Roman"/>
          <w:sz w:val="24"/>
          <w:szCs w:val="24"/>
        </w:rPr>
        <w:t xml:space="preserve"> Perception of fluency has a positive effect on customer’s brand attitudes.</w:t>
      </w:r>
    </w:p>
    <w:p w14:paraId="0F32EEFC" w14:textId="77777777" w:rsidR="00F95B9D" w:rsidRPr="007A4F79" w:rsidRDefault="00F95B9D" w:rsidP="00F95B9D">
      <w:pPr>
        <w:spacing w:after="40" w:line="240" w:lineRule="auto"/>
        <w:rPr>
          <w:rFonts w:ascii="Times New Roman" w:hAnsi="Times New Roman"/>
          <w:sz w:val="24"/>
          <w:szCs w:val="24"/>
        </w:rPr>
      </w:pPr>
      <w:r>
        <w:rPr>
          <w:rFonts w:ascii="Times New Roman" w:hAnsi="Times New Roman"/>
          <w:i/>
          <w:iCs/>
          <w:sz w:val="24"/>
          <w:szCs w:val="24"/>
        </w:rPr>
        <w:t>H5</w:t>
      </w:r>
      <w:r>
        <w:rPr>
          <w:rFonts w:ascii="Times New Roman" w:hAnsi="Times New Roman"/>
          <w:sz w:val="24"/>
          <w:szCs w:val="24"/>
        </w:rPr>
        <w:t xml:space="preserve">: The effect of perception of fluency on patronage intention is mediated by brand attitude. </w:t>
      </w:r>
    </w:p>
    <w:p w14:paraId="100ED743" w14:textId="77777777" w:rsidR="00F95B9D" w:rsidRDefault="00F95B9D" w:rsidP="00F95B9D">
      <w:pPr>
        <w:spacing w:after="0" w:line="240" w:lineRule="auto"/>
        <w:jc w:val="center"/>
        <w:rPr>
          <w:rFonts w:ascii="Times New Roman" w:hAnsi="Times New Roman"/>
          <w:b/>
          <w:bCs/>
          <w:sz w:val="24"/>
          <w:szCs w:val="24"/>
        </w:rPr>
      </w:pPr>
    </w:p>
    <w:p w14:paraId="3006F305" w14:textId="03C74E2D" w:rsidR="00F95B9D" w:rsidRPr="00F95B9D" w:rsidRDefault="00F95B9D" w:rsidP="00F95B9D">
      <w:pPr>
        <w:spacing w:after="0" w:line="240" w:lineRule="auto"/>
        <w:jc w:val="center"/>
        <w:rPr>
          <w:rFonts w:ascii="Times New Roman" w:hAnsi="Times New Roman"/>
          <w:b/>
          <w:bCs/>
          <w:sz w:val="24"/>
          <w:szCs w:val="24"/>
        </w:rPr>
      </w:pPr>
      <w:r w:rsidRPr="00F95B9D">
        <w:rPr>
          <w:rFonts w:ascii="Times New Roman" w:hAnsi="Times New Roman"/>
          <w:b/>
          <w:bCs/>
          <w:sz w:val="24"/>
          <w:szCs w:val="24"/>
        </w:rPr>
        <w:t>Methods</w:t>
      </w:r>
    </w:p>
    <w:p w14:paraId="15A5C682" w14:textId="5505D6A2" w:rsidR="00F95B9D" w:rsidRDefault="00F95B9D" w:rsidP="00F95B9D">
      <w:pPr>
        <w:spacing w:after="0" w:line="240" w:lineRule="auto"/>
        <w:rPr>
          <w:rFonts w:ascii="Times New Roman" w:hAnsi="Times New Roman"/>
          <w:sz w:val="24"/>
          <w:szCs w:val="24"/>
        </w:rPr>
      </w:pPr>
      <w:r>
        <w:rPr>
          <w:rFonts w:ascii="Times New Roman" w:hAnsi="Times New Roman"/>
          <w:sz w:val="24"/>
          <w:szCs w:val="24"/>
        </w:rPr>
        <w:tab/>
      </w:r>
      <w:bookmarkStart w:id="1" w:name="_Hlk69327988"/>
      <w:r w:rsidRPr="002170C6">
        <w:rPr>
          <w:rFonts w:ascii="Times New Roman" w:hAnsi="Times New Roman"/>
          <w:sz w:val="24"/>
          <w:szCs w:val="24"/>
        </w:rPr>
        <w:t>The measurement items were adapted used in previous research</w:t>
      </w:r>
      <w:r>
        <w:rPr>
          <w:rFonts w:ascii="Times New Roman" w:hAnsi="Times New Roman"/>
          <w:sz w:val="24"/>
          <w:szCs w:val="24"/>
        </w:rPr>
        <w:t xml:space="preserve"> using a 5-point Likert scale</w:t>
      </w:r>
      <w:r w:rsidRPr="002170C6">
        <w:rPr>
          <w:rFonts w:ascii="Times New Roman" w:hAnsi="Times New Roman"/>
          <w:sz w:val="24"/>
          <w:szCs w:val="24"/>
        </w:rPr>
        <w:t>.</w:t>
      </w:r>
      <w:r>
        <w:rPr>
          <w:rFonts w:ascii="Times New Roman" w:hAnsi="Times New Roman"/>
          <w:sz w:val="24"/>
          <w:szCs w:val="24"/>
        </w:rPr>
        <w:t xml:space="preserve"> </w:t>
      </w:r>
      <w:r w:rsidRPr="002170C6">
        <w:rPr>
          <w:rFonts w:ascii="Times New Roman" w:hAnsi="Times New Roman"/>
          <w:sz w:val="24"/>
          <w:szCs w:val="24"/>
        </w:rPr>
        <w:t xml:space="preserve">An online survey using a self-administered questionnaire was collected </w:t>
      </w:r>
      <w:r>
        <w:rPr>
          <w:rFonts w:ascii="Times New Roman" w:hAnsi="Times New Roman"/>
          <w:sz w:val="24"/>
          <w:szCs w:val="24"/>
        </w:rPr>
        <w:t>through</w:t>
      </w:r>
      <w:r w:rsidRPr="002170C6">
        <w:rPr>
          <w:rFonts w:ascii="Times New Roman" w:hAnsi="Times New Roman"/>
          <w:sz w:val="24"/>
          <w:szCs w:val="24"/>
        </w:rPr>
        <w:t xml:space="preserve"> </w:t>
      </w:r>
      <w:proofErr w:type="spellStart"/>
      <w:r w:rsidRPr="002170C6">
        <w:rPr>
          <w:rFonts w:ascii="Times New Roman" w:hAnsi="Times New Roman"/>
          <w:sz w:val="24"/>
          <w:szCs w:val="24"/>
        </w:rPr>
        <w:t>Dynata</w:t>
      </w:r>
      <w:proofErr w:type="spellEnd"/>
      <w:r w:rsidRPr="002170C6">
        <w:rPr>
          <w:rFonts w:ascii="Times New Roman" w:hAnsi="Times New Roman"/>
          <w:sz w:val="24"/>
          <w:szCs w:val="24"/>
        </w:rPr>
        <w:t xml:space="preserve">. In the beginning of the survey, a selection of omnichannel fashion department stores (i.e., Nordstrom, Bloomingdales, Neiman Marcus, Macy’s, Kohl’s and JC Penney) was presented for the respondents to choose from to ensure that the respondents have shopped in one or more of the department </w:t>
      </w:r>
      <w:proofErr w:type="gramStart"/>
      <w:r w:rsidRPr="002170C6">
        <w:rPr>
          <w:rFonts w:ascii="Times New Roman" w:hAnsi="Times New Roman"/>
          <w:sz w:val="24"/>
          <w:szCs w:val="24"/>
        </w:rPr>
        <w:t>store</w:t>
      </w:r>
      <w:proofErr w:type="gramEnd"/>
      <w:r w:rsidRPr="002170C6">
        <w:rPr>
          <w:rFonts w:ascii="Times New Roman" w:hAnsi="Times New Roman"/>
          <w:sz w:val="24"/>
          <w:szCs w:val="24"/>
        </w:rPr>
        <w:t xml:space="preserve"> listed in the past 12 months. A total of 552 participants were used for the data analysis (males 49% and females 48%; median age = 34).</w:t>
      </w:r>
      <w:r>
        <w:rPr>
          <w:rFonts w:ascii="Times New Roman" w:hAnsi="Times New Roman"/>
          <w:sz w:val="24"/>
          <w:szCs w:val="24"/>
        </w:rPr>
        <w:t xml:space="preserve"> Next, participants were asked to answer questions adopted from the literature (</w:t>
      </w:r>
      <w:r w:rsidR="001C145C">
        <w:rPr>
          <w:rFonts w:ascii="Times New Roman" w:hAnsi="Times New Roman"/>
          <w:sz w:val="24"/>
          <w:szCs w:val="24"/>
        </w:rPr>
        <w:t xml:space="preserve">ex. </w:t>
      </w:r>
      <w:proofErr w:type="spellStart"/>
      <w:r w:rsidRPr="002170C6">
        <w:rPr>
          <w:rFonts w:ascii="Times New Roman" w:hAnsi="Times New Roman"/>
          <w:sz w:val="24"/>
          <w:szCs w:val="24"/>
        </w:rPr>
        <w:t>Hure</w:t>
      </w:r>
      <w:proofErr w:type="spellEnd"/>
      <w:r w:rsidRPr="002170C6">
        <w:rPr>
          <w:rFonts w:ascii="Times New Roman" w:hAnsi="Times New Roman"/>
          <w:sz w:val="24"/>
          <w:szCs w:val="24"/>
        </w:rPr>
        <w:t xml:space="preserve"> et al.</w:t>
      </w:r>
      <w:r>
        <w:rPr>
          <w:rFonts w:ascii="Times New Roman" w:hAnsi="Times New Roman"/>
          <w:sz w:val="24"/>
          <w:szCs w:val="24"/>
        </w:rPr>
        <w:t xml:space="preserve">, </w:t>
      </w:r>
      <w:r w:rsidRPr="002170C6">
        <w:rPr>
          <w:rFonts w:ascii="Times New Roman" w:hAnsi="Times New Roman"/>
          <w:sz w:val="24"/>
          <w:szCs w:val="24"/>
        </w:rPr>
        <w:t>2017</w:t>
      </w:r>
      <w:r>
        <w:rPr>
          <w:rFonts w:ascii="Times New Roman" w:hAnsi="Times New Roman"/>
          <w:sz w:val="24"/>
          <w:szCs w:val="24"/>
        </w:rPr>
        <w:t xml:space="preserve">; </w:t>
      </w:r>
      <w:r w:rsidRPr="002170C6">
        <w:rPr>
          <w:rFonts w:ascii="Times New Roman" w:hAnsi="Times New Roman"/>
          <w:sz w:val="24"/>
          <w:szCs w:val="24"/>
        </w:rPr>
        <w:t>Shen et al.</w:t>
      </w:r>
      <w:r>
        <w:rPr>
          <w:rFonts w:ascii="Times New Roman" w:hAnsi="Times New Roman"/>
          <w:sz w:val="24"/>
          <w:szCs w:val="24"/>
        </w:rPr>
        <w:t xml:space="preserve">, </w:t>
      </w:r>
      <w:r w:rsidRPr="002170C6">
        <w:rPr>
          <w:rFonts w:ascii="Times New Roman" w:hAnsi="Times New Roman"/>
          <w:sz w:val="24"/>
          <w:szCs w:val="24"/>
        </w:rPr>
        <w:t>2018</w:t>
      </w:r>
      <w:r>
        <w:rPr>
          <w:rFonts w:ascii="Times New Roman" w:hAnsi="Times New Roman"/>
          <w:sz w:val="24"/>
          <w:szCs w:val="24"/>
        </w:rPr>
        <w:t xml:space="preserve">; </w:t>
      </w:r>
      <w:r w:rsidR="00B7625D">
        <w:rPr>
          <w:rFonts w:ascii="Times New Roman" w:hAnsi="Times New Roman"/>
          <w:sz w:val="24"/>
          <w:szCs w:val="24"/>
        </w:rPr>
        <w:t xml:space="preserve">and </w:t>
      </w:r>
      <w:r w:rsidRPr="002170C6">
        <w:rPr>
          <w:rFonts w:ascii="Times New Roman" w:hAnsi="Times New Roman"/>
          <w:sz w:val="24"/>
          <w:szCs w:val="24"/>
        </w:rPr>
        <w:t>Zhang et al.</w:t>
      </w:r>
      <w:r>
        <w:rPr>
          <w:rFonts w:ascii="Times New Roman" w:hAnsi="Times New Roman"/>
          <w:sz w:val="24"/>
          <w:szCs w:val="24"/>
        </w:rPr>
        <w:t>,</w:t>
      </w:r>
      <w:r w:rsidRPr="002170C6">
        <w:rPr>
          <w:rFonts w:ascii="Times New Roman" w:hAnsi="Times New Roman"/>
          <w:sz w:val="24"/>
          <w:szCs w:val="24"/>
        </w:rPr>
        <w:t xml:space="preserve"> 2018)</w:t>
      </w:r>
      <w:r>
        <w:rPr>
          <w:rFonts w:ascii="Times New Roman" w:hAnsi="Times New Roman"/>
          <w:sz w:val="24"/>
          <w:szCs w:val="24"/>
        </w:rPr>
        <w:t xml:space="preserve">. To test the hypotheses, this study employed structural equation modeling using </w:t>
      </w:r>
      <w:proofErr w:type="spellStart"/>
      <w:r>
        <w:rPr>
          <w:rFonts w:ascii="Times New Roman" w:hAnsi="Times New Roman"/>
          <w:sz w:val="24"/>
          <w:szCs w:val="24"/>
        </w:rPr>
        <w:t>MPlus</w:t>
      </w:r>
      <w:proofErr w:type="spellEnd"/>
      <w:r>
        <w:rPr>
          <w:rFonts w:ascii="Times New Roman" w:hAnsi="Times New Roman"/>
          <w:sz w:val="24"/>
          <w:szCs w:val="24"/>
        </w:rPr>
        <w:t>.</w:t>
      </w:r>
    </w:p>
    <w:bookmarkEnd w:id="1"/>
    <w:p w14:paraId="13BD2BD7" w14:textId="77777777" w:rsidR="00F95B9D" w:rsidRPr="00F95B9D" w:rsidRDefault="00F95B9D" w:rsidP="00F95B9D">
      <w:pPr>
        <w:spacing w:before="120" w:afterLines="40" w:after="96" w:line="240" w:lineRule="auto"/>
        <w:jc w:val="center"/>
        <w:rPr>
          <w:rFonts w:ascii="Times New Roman" w:hAnsi="Times New Roman"/>
          <w:b/>
          <w:bCs/>
          <w:sz w:val="24"/>
          <w:szCs w:val="24"/>
        </w:rPr>
      </w:pPr>
      <w:r w:rsidRPr="00F95B9D">
        <w:rPr>
          <w:rFonts w:ascii="Times New Roman" w:hAnsi="Times New Roman"/>
          <w:b/>
          <w:bCs/>
          <w:sz w:val="24"/>
          <w:szCs w:val="24"/>
        </w:rPr>
        <w:t>Results</w:t>
      </w:r>
    </w:p>
    <w:p w14:paraId="5B479CF0" w14:textId="77777777" w:rsidR="00F95B9D" w:rsidRDefault="00F95B9D" w:rsidP="00F95B9D">
      <w:pPr>
        <w:spacing w:before="120" w:afterLines="40" w:after="96" w:line="240" w:lineRule="auto"/>
        <w:rPr>
          <w:rFonts w:ascii="Times New Roman" w:eastAsiaTheme="minorEastAsia" w:hAnsi="Times New Roman"/>
          <w:sz w:val="24"/>
          <w:szCs w:val="24"/>
        </w:rPr>
      </w:pPr>
      <w:r>
        <w:rPr>
          <w:rFonts w:ascii="Times New Roman" w:hAnsi="Times New Roman"/>
          <w:sz w:val="24"/>
          <w:szCs w:val="24"/>
        </w:rPr>
        <w:tab/>
        <w:t xml:space="preserve">The confirmatory factor analysis </w:t>
      </w:r>
      <m:oMath>
        <m:r>
          <w:rPr>
            <w:rFonts w:ascii="Cambria Math" w:hAnsi="Cambria Math"/>
            <w:sz w:val="24"/>
            <w:szCs w:val="24"/>
          </w:rPr>
          <m:t>(</m:t>
        </m:r>
        <m:r>
          <m:rPr>
            <m:sty m:val="p"/>
          </m:rPr>
          <w:rPr>
            <w:rFonts w:ascii="Cambria Math" w:hAnsi="Cambria Math"/>
            <w:sz w:val="24"/>
            <w:szCs w:val="24"/>
          </w:rPr>
          <m:t xml:space="preserve">CFI=.98, GFI=.97, RMSEA=.045, SRMR=.023, </m:t>
        </m:r>
        <m:sSup>
          <m:sSupPr>
            <m:ctrlPr>
              <w:rPr>
                <w:rFonts w:ascii="Cambria Math" w:hAnsi="Cambria Math"/>
                <w:iCs/>
                <w:sz w:val="24"/>
                <w:szCs w:val="24"/>
              </w:rPr>
            </m:ctrlPr>
          </m:sSupPr>
          <m:e>
            <m:r>
              <w:rPr>
                <w:rFonts w:ascii="Cambria Math" w:hAnsi="Cambria Math"/>
                <w:sz w:val="24"/>
                <w:szCs w:val="24"/>
              </w:rPr>
              <m:t>χ</m:t>
            </m:r>
          </m:e>
          <m:sup>
            <m:r>
              <w:rPr>
                <w:rFonts w:ascii="Cambria Math" w:hAnsi="Cambria Math"/>
                <w:sz w:val="24"/>
                <w:szCs w:val="24"/>
              </w:rPr>
              <m:t>2</m:t>
            </m:r>
          </m:sup>
        </m:sSup>
        <m:r>
          <m:rPr>
            <m:sty m:val="p"/>
          </m:rPr>
          <w:rPr>
            <w:rFonts w:ascii="Cambria Math" w:hAnsi="Cambria Math"/>
            <w:sz w:val="24"/>
            <w:szCs w:val="24"/>
          </w:rPr>
          <m:t xml:space="preserve">= .169.54, </m:t>
        </m:r>
        <m:r>
          <w:rPr>
            <w:rFonts w:ascii="Cambria Math" w:hAnsi="Cambria Math"/>
            <w:sz w:val="24"/>
            <w:szCs w:val="24"/>
          </w:rPr>
          <m:t>df</m:t>
        </m:r>
        <m:r>
          <m:rPr>
            <m:sty m:val="p"/>
          </m:rPr>
          <w:rPr>
            <w:rFonts w:ascii="Cambria Math" w:hAnsi="Cambria Math"/>
            <w:sz w:val="24"/>
            <w:szCs w:val="24"/>
          </w:rPr>
          <m:t xml:space="preserve">=80, </m:t>
        </m:r>
        <m:r>
          <w:rPr>
            <w:rFonts w:ascii="Cambria Math" w:hAnsi="Cambria Math"/>
            <w:sz w:val="24"/>
            <w:szCs w:val="24"/>
          </w:rPr>
          <m:t>p&lt;.001)</m:t>
        </m:r>
        <m:r>
          <m:rPr>
            <m:sty m:val="p"/>
          </m:rPr>
          <w:rPr>
            <w:rFonts w:ascii="Cambria Math" w:hAnsi="Cambria Math"/>
            <w:sz w:val="24"/>
            <w:szCs w:val="24"/>
          </w:rPr>
          <m:t xml:space="preserve"> </m:t>
        </m:r>
      </m:oMath>
      <w:r>
        <w:rPr>
          <w:rFonts w:ascii="Times New Roman" w:eastAsiaTheme="minorEastAsia" w:hAnsi="Times New Roman"/>
          <w:iCs/>
          <w:sz w:val="24"/>
          <w:szCs w:val="24"/>
        </w:rPr>
        <w:t xml:space="preserve">and SEM analysis </w:t>
      </w:r>
      <m:oMath>
        <m:r>
          <w:rPr>
            <w:rFonts w:ascii="Cambria Math" w:hAnsi="Cambria Math"/>
            <w:sz w:val="24"/>
            <w:szCs w:val="24"/>
          </w:rPr>
          <m:t>(</m:t>
        </m:r>
        <m:r>
          <m:rPr>
            <m:sty m:val="p"/>
          </m:rPr>
          <w:rPr>
            <w:rFonts w:ascii="Cambria Math" w:hAnsi="Cambria Math"/>
            <w:sz w:val="24"/>
            <w:szCs w:val="24"/>
          </w:rPr>
          <m:t xml:space="preserve">CFI=.98, GFI=.97, RMSEA=.044, SRMR=.024, </m:t>
        </m:r>
        <m:sSup>
          <m:sSupPr>
            <m:ctrlPr>
              <w:rPr>
                <w:rFonts w:ascii="Cambria Math" w:hAnsi="Cambria Math"/>
                <w:iCs/>
                <w:sz w:val="24"/>
                <w:szCs w:val="24"/>
              </w:rPr>
            </m:ctrlPr>
          </m:sSupPr>
          <m:e>
            <m:r>
              <w:rPr>
                <w:rFonts w:ascii="Cambria Math" w:hAnsi="Cambria Math"/>
                <w:sz w:val="24"/>
                <w:szCs w:val="24"/>
              </w:rPr>
              <m:t>χ</m:t>
            </m:r>
          </m:e>
          <m:sup>
            <m:r>
              <w:rPr>
                <w:rFonts w:ascii="Cambria Math" w:hAnsi="Cambria Math"/>
                <w:sz w:val="24"/>
                <w:szCs w:val="24"/>
              </w:rPr>
              <m:t>2</m:t>
            </m:r>
          </m:sup>
        </m:sSup>
        <m:r>
          <m:rPr>
            <m:sty m:val="p"/>
          </m:rPr>
          <w:rPr>
            <w:rFonts w:ascii="Cambria Math" w:hAnsi="Cambria Math"/>
            <w:sz w:val="24"/>
            <w:szCs w:val="24"/>
          </w:rPr>
          <m:t xml:space="preserve">= .175.68, </m:t>
        </m:r>
        <m:r>
          <w:rPr>
            <w:rFonts w:ascii="Cambria Math" w:hAnsi="Cambria Math"/>
            <w:sz w:val="24"/>
            <w:szCs w:val="24"/>
          </w:rPr>
          <m:t>df</m:t>
        </m:r>
        <m:r>
          <m:rPr>
            <m:sty m:val="p"/>
          </m:rPr>
          <w:rPr>
            <w:rFonts w:ascii="Cambria Math" w:hAnsi="Cambria Math"/>
            <w:sz w:val="24"/>
            <w:szCs w:val="24"/>
          </w:rPr>
          <m:t xml:space="preserve">=84, </m:t>
        </m:r>
        <m:r>
          <w:rPr>
            <w:rFonts w:ascii="Cambria Math" w:hAnsi="Cambria Math"/>
            <w:sz w:val="24"/>
            <w:szCs w:val="24"/>
          </w:rPr>
          <m:t>p&lt;.001)</m:t>
        </m:r>
      </m:oMath>
      <w:r>
        <w:rPr>
          <w:rFonts w:ascii="Times New Roman" w:eastAsiaTheme="minorEastAsia" w:hAnsi="Times New Roman"/>
          <w:sz w:val="24"/>
          <w:szCs w:val="24"/>
        </w:rPr>
        <w:t xml:space="preserve">. In the model </w:t>
      </w:r>
      <m:oMath>
        <m:r>
          <w:rPr>
            <w:rFonts w:ascii="Cambria Math" w:hAnsi="Cambria Math"/>
            <w:sz w:val="24"/>
            <w:szCs w:val="24"/>
          </w:rPr>
          <m:t>(n</m:t>
        </m:r>
        <m:r>
          <m:rPr>
            <m:sty m:val="p"/>
          </m:rPr>
          <w:rPr>
            <w:rFonts w:ascii="Cambria Math" w:hAnsi="Cambria Math"/>
            <w:sz w:val="24"/>
            <w:szCs w:val="24"/>
          </w:rPr>
          <m:t>=552)</m:t>
        </m:r>
      </m:oMath>
      <w:r>
        <w:rPr>
          <w:rFonts w:ascii="Times New Roman" w:eastAsiaTheme="minorEastAsia" w:hAnsi="Times New Roman"/>
          <w:iCs/>
          <w:sz w:val="24"/>
          <w:szCs w:val="24"/>
        </w:rPr>
        <w:t xml:space="preserve">, content consistency </w:t>
      </w:r>
      <m:oMath>
        <m:r>
          <w:rPr>
            <w:rFonts w:ascii="Cambria Math" w:hAnsi="Cambria Math"/>
            <w:sz w:val="24"/>
            <w:szCs w:val="24"/>
          </w:rPr>
          <m:t>(</m:t>
        </m:r>
        <m:r>
          <m:rPr>
            <m:sty m:val="p"/>
          </m:rPr>
          <w:rPr>
            <w:rFonts w:ascii="Cambria Math" w:hAnsi="Cambria Math"/>
            <w:sz w:val="24"/>
            <w:szCs w:val="24"/>
          </w:rPr>
          <m:t>H1;</m:t>
        </m:r>
        <m:r>
          <w:rPr>
            <w:rFonts w:ascii="Cambria Math" w:hAnsi="Cambria Math"/>
            <w:sz w:val="24"/>
            <w:szCs w:val="24"/>
          </w:rPr>
          <m:t>β</m:t>
        </m:r>
        <m:r>
          <m:rPr>
            <m:sty m:val="p"/>
          </m:rPr>
          <w:rPr>
            <w:rFonts w:ascii="Cambria Math" w:hAnsi="Cambria Math"/>
            <w:sz w:val="24"/>
            <w:szCs w:val="24"/>
          </w:rPr>
          <m:t xml:space="preserve">=.439, </m:t>
        </m:r>
        <m:r>
          <w:rPr>
            <w:rFonts w:ascii="Cambria Math" w:hAnsi="Cambria Math"/>
            <w:sz w:val="24"/>
            <w:szCs w:val="24"/>
          </w:rPr>
          <m:t>p&lt;.001)</m:t>
        </m:r>
      </m:oMath>
      <w:r>
        <w:rPr>
          <w:rFonts w:ascii="Times New Roman" w:eastAsiaTheme="minorEastAsia" w:hAnsi="Times New Roman"/>
          <w:sz w:val="24"/>
          <w:szCs w:val="24"/>
        </w:rPr>
        <w:t xml:space="preserve"> and process consistency </w:t>
      </w:r>
      <m:oMath>
        <m:r>
          <w:rPr>
            <w:rFonts w:ascii="Cambria Math" w:hAnsi="Cambria Math"/>
            <w:sz w:val="24"/>
            <w:szCs w:val="24"/>
          </w:rPr>
          <m:t>(</m:t>
        </m:r>
        <m:r>
          <m:rPr>
            <m:sty m:val="p"/>
          </m:rPr>
          <w:rPr>
            <w:rFonts w:ascii="Cambria Math" w:hAnsi="Cambria Math"/>
            <w:sz w:val="24"/>
            <w:szCs w:val="24"/>
          </w:rPr>
          <m:t>H2;</m:t>
        </m:r>
        <m:r>
          <w:rPr>
            <w:rFonts w:ascii="Cambria Math" w:hAnsi="Cambria Math"/>
            <w:sz w:val="24"/>
            <w:szCs w:val="24"/>
          </w:rPr>
          <m:t>β</m:t>
        </m:r>
        <m:r>
          <m:rPr>
            <m:sty m:val="p"/>
          </m:rPr>
          <w:rPr>
            <w:rFonts w:ascii="Cambria Math" w:hAnsi="Cambria Math"/>
            <w:sz w:val="24"/>
            <w:szCs w:val="24"/>
          </w:rPr>
          <m:t xml:space="preserve">=.576, </m:t>
        </m:r>
        <m:r>
          <w:rPr>
            <w:rFonts w:ascii="Cambria Math" w:hAnsi="Cambria Math"/>
            <w:sz w:val="24"/>
            <w:szCs w:val="24"/>
          </w:rPr>
          <m:t>p&lt;.001)</m:t>
        </m:r>
      </m:oMath>
      <w:r>
        <w:rPr>
          <w:rFonts w:ascii="Times New Roman" w:eastAsiaTheme="minorEastAsia" w:hAnsi="Times New Roman"/>
          <w:sz w:val="24"/>
          <w:szCs w:val="24"/>
        </w:rPr>
        <w:t xml:space="preserve"> </w:t>
      </w:r>
      <w:r>
        <w:rPr>
          <w:rFonts w:ascii="Times New Roman" w:eastAsiaTheme="minorEastAsia" w:hAnsi="Times New Roman"/>
          <w:iCs/>
          <w:sz w:val="24"/>
          <w:szCs w:val="24"/>
        </w:rPr>
        <w:t>had a positive effect on fluency</w:t>
      </w:r>
      <w:r>
        <w:rPr>
          <w:rFonts w:ascii="Times New Roman" w:eastAsiaTheme="minorEastAsia" w:hAnsi="Times New Roman"/>
          <w:sz w:val="24"/>
          <w:szCs w:val="24"/>
        </w:rPr>
        <w:t xml:space="preserve">. Fluency had no significant effect on patronage intention </w:t>
      </w:r>
      <m:oMath>
        <m:r>
          <w:rPr>
            <w:rFonts w:ascii="Cambria Math" w:hAnsi="Cambria Math"/>
            <w:sz w:val="24"/>
            <w:szCs w:val="24"/>
          </w:rPr>
          <m:t>(</m:t>
        </m:r>
        <m:r>
          <m:rPr>
            <m:sty m:val="p"/>
          </m:rPr>
          <w:rPr>
            <w:rFonts w:ascii="Cambria Math" w:hAnsi="Cambria Math"/>
            <w:sz w:val="24"/>
            <w:szCs w:val="24"/>
          </w:rPr>
          <m:t>H3;</m:t>
        </m:r>
        <m:r>
          <w:rPr>
            <w:rFonts w:ascii="Cambria Math" w:hAnsi="Cambria Math"/>
            <w:sz w:val="24"/>
            <w:szCs w:val="24"/>
          </w:rPr>
          <m:t>β</m:t>
        </m:r>
        <m:r>
          <m:rPr>
            <m:sty m:val="p"/>
          </m:rPr>
          <w:rPr>
            <w:rFonts w:ascii="Cambria Math" w:hAnsi="Cambria Math"/>
            <w:sz w:val="24"/>
            <w:szCs w:val="24"/>
          </w:rPr>
          <m:t xml:space="preserve">=.052, </m:t>
        </m:r>
        <m:r>
          <w:rPr>
            <w:rFonts w:ascii="Cambria Math" w:hAnsi="Cambria Math"/>
            <w:sz w:val="24"/>
            <w:szCs w:val="24"/>
          </w:rPr>
          <m:t>p&lt;.001)</m:t>
        </m:r>
      </m:oMath>
      <w:r>
        <w:rPr>
          <w:rFonts w:ascii="Times New Roman" w:eastAsiaTheme="minorEastAsia" w:hAnsi="Times New Roman"/>
          <w:sz w:val="24"/>
          <w:szCs w:val="24"/>
        </w:rPr>
        <w:t xml:space="preserve">. However, fluency had a positive effect on brand attitude </w:t>
      </w:r>
      <m:oMath>
        <m:r>
          <w:rPr>
            <w:rFonts w:ascii="Cambria Math" w:hAnsi="Cambria Math"/>
            <w:sz w:val="24"/>
            <w:szCs w:val="24"/>
          </w:rPr>
          <m:t>(</m:t>
        </m:r>
        <m:r>
          <m:rPr>
            <m:sty m:val="p"/>
          </m:rPr>
          <w:rPr>
            <w:rFonts w:ascii="Cambria Math" w:hAnsi="Cambria Math"/>
            <w:sz w:val="24"/>
            <w:szCs w:val="24"/>
          </w:rPr>
          <m:t>H4;</m:t>
        </m:r>
        <m:r>
          <w:rPr>
            <w:rFonts w:ascii="Cambria Math" w:hAnsi="Cambria Math"/>
            <w:sz w:val="24"/>
            <w:szCs w:val="24"/>
          </w:rPr>
          <m:t>β</m:t>
        </m:r>
        <m:r>
          <m:rPr>
            <m:sty m:val="p"/>
          </m:rPr>
          <w:rPr>
            <w:rFonts w:ascii="Cambria Math" w:hAnsi="Cambria Math"/>
            <w:sz w:val="24"/>
            <w:szCs w:val="24"/>
          </w:rPr>
          <m:t xml:space="preserve">=.841, </m:t>
        </m:r>
        <m:r>
          <w:rPr>
            <w:rFonts w:ascii="Cambria Math" w:hAnsi="Cambria Math"/>
            <w:sz w:val="24"/>
            <w:szCs w:val="24"/>
          </w:rPr>
          <m:t>p&lt;.001)</m:t>
        </m:r>
      </m:oMath>
      <w:r>
        <w:rPr>
          <w:rFonts w:ascii="Times New Roman" w:eastAsiaTheme="minorEastAsia" w:hAnsi="Times New Roman"/>
          <w:sz w:val="24"/>
          <w:szCs w:val="24"/>
        </w:rPr>
        <w:t xml:space="preserve">, and brand attitude was found to mediates fluency on patronage intention </w:t>
      </w:r>
      <m:oMath>
        <m:r>
          <w:rPr>
            <w:rFonts w:ascii="Cambria Math" w:hAnsi="Cambria Math"/>
            <w:sz w:val="24"/>
            <w:szCs w:val="24"/>
          </w:rPr>
          <m:t>(</m:t>
        </m:r>
        <m:r>
          <m:rPr>
            <m:sty m:val="p"/>
          </m:rPr>
          <w:rPr>
            <w:rFonts w:ascii="Cambria Math" w:hAnsi="Cambria Math"/>
            <w:sz w:val="24"/>
            <w:szCs w:val="24"/>
          </w:rPr>
          <m:t>H5;</m:t>
        </m:r>
        <m:r>
          <w:rPr>
            <w:rFonts w:ascii="Cambria Math" w:hAnsi="Cambria Math"/>
            <w:sz w:val="24"/>
            <w:szCs w:val="24"/>
          </w:rPr>
          <m:t>β</m:t>
        </m:r>
        <m:r>
          <m:rPr>
            <m:sty m:val="p"/>
          </m:rPr>
          <w:rPr>
            <w:rFonts w:ascii="Cambria Math" w:hAnsi="Cambria Math"/>
            <w:sz w:val="24"/>
            <w:szCs w:val="24"/>
          </w:rPr>
          <m:t xml:space="preserve">=.946, </m:t>
        </m:r>
        <m:r>
          <w:rPr>
            <w:rFonts w:ascii="Cambria Math" w:hAnsi="Cambria Math"/>
            <w:sz w:val="24"/>
            <w:szCs w:val="24"/>
          </w:rPr>
          <m:t>p&lt;.001)</m:t>
        </m:r>
      </m:oMath>
      <w:r>
        <w:rPr>
          <w:rFonts w:ascii="Times New Roman" w:eastAsiaTheme="minorEastAsia" w:hAnsi="Times New Roman"/>
          <w:sz w:val="24"/>
          <w:szCs w:val="24"/>
        </w:rPr>
        <w:t>.</w:t>
      </w:r>
    </w:p>
    <w:p w14:paraId="655C881D" w14:textId="77777777" w:rsidR="00F95B9D" w:rsidRPr="00F95B9D" w:rsidRDefault="00F95B9D" w:rsidP="00F95B9D">
      <w:pPr>
        <w:spacing w:before="120" w:afterLines="40" w:after="96" w:line="240" w:lineRule="auto"/>
        <w:jc w:val="center"/>
        <w:rPr>
          <w:rFonts w:ascii="Times New Roman" w:eastAsiaTheme="minorEastAsia" w:hAnsi="Times New Roman"/>
          <w:b/>
          <w:bCs/>
          <w:sz w:val="24"/>
          <w:szCs w:val="24"/>
        </w:rPr>
      </w:pPr>
      <w:r w:rsidRPr="00F95B9D">
        <w:rPr>
          <w:rFonts w:ascii="Times New Roman" w:eastAsiaTheme="minorEastAsia" w:hAnsi="Times New Roman"/>
          <w:b/>
          <w:bCs/>
          <w:sz w:val="24"/>
          <w:szCs w:val="24"/>
        </w:rPr>
        <w:t>Discussion and implications</w:t>
      </w:r>
    </w:p>
    <w:p w14:paraId="29DEB414" w14:textId="61B875F7" w:rsidR="00F95B9D" w:rsidRPr="00FC1234" w:rsidRDefault="00F95B9D" w:rsidP="00F95B9D">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ab/>
        <w:t>Findings reveal that content and process consistency ha</w:t>
      </w:r>
      <w:r w:rsidR="00EA25D1">
        <w:rPr>
          <w:rFonts w:ascii="Times New Roman" w:eastAsiaTheme="minorEastAsia" w:hAnsi="Times New Roman"/>
          <w:sz w:val="24"/>
          <w:szCs w:val="24"/>
        </w:rPr>
        <w:t xml:space="preserve">ve </w:t>
      </w:r>
      <w:r>
        <w:rPr>
          <w:rFonts w:ascii="Times New Roman" w:eastAsiaTheme="minorEastAsia" w:hAnsi="Times New Roman"/>
          <w:sz w:val="24"/>
          <w:szCs w:val="24"/>
        </w:rPr>
        <w:t xml:space="preserve">a positive influence on customers’ belief in channel fluency. Thus, we suggest that omnichannel department store retailers focus on the quality of their channel integration. Importantly, we found that customer’s belief in channel fluency does not directly influence customers’ patronage intention. Instead, customers’ brand attitudes indirectly influenced customers’ patronage intention. This finding implies that industry practitioners need to focus beyond the quality of channel integration and </w:t>
      </w:r>
      <w:r>
        <w:rPr>
          <w:rFonts w:ascii="Times New Roman" w:eastAsiaTheme="minorEastAsia" w:hAnsi="Times New Roman"/>
          <w:sz w:val="24"/>
          <w:szCs w:val="24"/>
        </w:rPr>
        <w:lastRenderedPageBreak/>
        <w:t xml:space="preserve">channel fluency. </w:t>
      </w:r>
      <w:r w:rsidRPr="002170C6">
        <w:rPr>
          <w:rFonts w:ascii="Times New Roman" w:eastAsiaTheme="minorEastAsia" w:hAnsi="Times New Roman"/>
          <w:sz w:val="24"/>
          <w:szCs w:val="24"/>
        </w:rPr>
        <w:t xml:space="preserve">Finally, this study suggests practical implications for omnichannel fashion department store retailers </w:t>
      </w:r>
      <w:r>
        <w:rPr>
          <w:rFonts w:ascii="Times New Roman" w:eastAsiaTheme="minorEastAsia" w:hAnsi="Times New Roman"/>
          <w:sz w:val="24"/>
          <w:szCs w:val="24"/>
        </w:rPr>
        <w:t xml:space="preserve">to focus on building a favorable brand name. A customer </w:t>
      </w:r>
      <w:r w:rsidRPr="002170C6">
        <w:rPr>
          <w:rFonts w:ascii="Times New Roman" w:eastAsiaTheme="minorEastAsia" w:hAnsi="Times New Roman"/>
          <w:sz w:val="24"/>
          <w:szCs w:val="24"/>
        </w:rPr>
        <w:t xml:space="preserve">who has a </w:t>
      </w:r>
      <w:r w:rsidRPr="00FC1234">
        <w:rPr>
          <w:rFonts w:ascii="Times New Roman" w:eastAsiaTheme="minorEastAsia" w:hAnsi="Times New Roman"/>
          <w:sz w:val="24"/>
          <w:szCs w:val="24"/>
        </w:rPr>
        <w:t xml:space="preserve">positive attitude toward a brand will be more likely to patronize the retailer. </w:t>
      </w:r>
    </w:p>
    <w:p w14:paraId="5B8C82BF" w14:textId="77777777" w:rsidR="00F95B9D" w:rsidRDefault="00F95B9D" w:rsidP="00F95B9D">
      <w:pPr>
        <w:spacing w:after="80" w:line="240" w:lineRule="auto"/>
        <w:jc w:val="center"/>
        <w:rPr>
          <w:rFonts w:ascii="Times New Roman" w:eastAsiaTheme="minorEastAsia" w:hAnsi="Times New Roman"/>
          <w:sz w:val="24"/>
          <w:szCs w:val="24"/>
        </w:rPr>
      </w:pPr>
    </w:p>
    <w:p w14:paraId="3880B506" w14:textId="77777777" w:rsidR="00F95B9D" w:rsidRPr="00F95B9D" w:rsidRDefault="00F95B9D" w:rsidP="00F95B9D">
      <w:pPr>
        <w:spacing w:after="80" w:line="240" w:lineRule="auto"/>
        <w:jc w:val="center"/>
        <w:rPr>
          <w:rFonts w:ascii="Times New Roman" w:eastAsiaTheme="minorEastAsia" w:hAnsi="Times New Roman"/>
          <w:b/>
          <w:bCs/>
          <w:sz w:val="24"/>
          <w:szCs w:val="24"/>
        </w:rPr>
      </w:pPr>
      <w:r w:rsidRPr="00F95B9D">
        <w:rPr>
          <w:rFonts w:ascii="Times New Roman" w:eastAsiaTheme="minorEastAsia" w:hAnsi="Times New Roman"/>
          <w:b/>
          <w:bCs/>
          <w:sz w:val="24"/>
          <w:szCs w:val="24"/>
        </w:rPr>
        <w:t>References</w:t>
      </w:r>
    </w:p>
    <w:p w14:paraId="3CAD86A4" w14:textId="77777777" w:rsidR="00F95B9D" w:rsidRPr="00FC1234" w:rsidRDefault="00F95B9D" w:rsidP="00F95B9D">
      <w:pPr>
        <w:spacing w:after="80" w:line="240" w:lineRule="auto"/>
        <w:ind w:left="720" w:hanging="720"/>
        <w:rPr>
          <w:rFonts w:ascii="Times New Roman" w:hAnsi="Times New Roman"/>
          <w:bCs/>
          <w:sz w:val="24"/>
          <w:szCs w:val="24"/>
          <w:highlight w:val="white"/>
        </w:rPr>
      </w:pPr>
      <w:r w:rsidRPr="00FC1234">
        <w:rPr>
          <w:rFonts w:ascii="Times New Roman" w:hAnsi="Times New Roman"/>
          <w:bCs/>
          <w:sz w:val="24"/>
          <w:szCs w:val="24"/>
        </w:rPr>
        <w:t xml:space="preserve">Ajzen, I., &amp; </w:t>
      </w:r>
      <w:proofErr w:type="spellStart"/>
      <w:r w:rsidRPr="00FC1234">
        <w:rPr>
          <w:rFonts w:ascii="Times New Roman" w:hAnsi="Times New Roman"/>
          <w:bCs/>
          <w:sz w:val="24"/>
          <w:szCs w:val="24"/>
        </w:rPr>
        <w:t>Kruglanski</w:t>
      </w:r>
      <w:proofErr w:type="spellEnd"/>
      <w:r w:rsidRPr="00FC1234">
        <w:rPr>
          <w:rFonts w:ascii="Times New Roman" w:hAnsi="Times New Roman"/>
          <w:bCs/>
          <w:sz w:val="24"/>
          <w:szCs w:val="24"/>
        </w:rPr>
        <w:t xml:space="preserve">, A. W. (2019). Reasoned action in the service of goal pursuit. </w:t>
      </w:r>
      <w:r w:rsidRPr="00FC1234">
        <w:rPr>
          <w:rFonts w:ascii="Times New Roman" w:hAnsi="Times New Roman"/>
          <w:bCs/>
          <w:i/>
          <w:iCs/>
          <w:sz w:val="24"/>
          <w:szCs w:val="24"/>
        </w:rPr>
        <w:t>Psychological Review, 126</w:t>
      </w:r>
      <w:r w:rsidRPr="00FC1234">
        <w:rPr>
          <w:rFonts w:ascii="Times New Roman" w:hAnsi="Times New Roman"/>
          <w:bCs/>
          <w:sz w:val="24"/>
          <w:szCs w:val="24"/>
        </w:rPr>
        <w:t>(5), 774–786.</w:t>
      </w:r>
    </w:p>
    <w:p w14:paraId="681304C9" w14:textId="77777777" w:rsidR="00F95B9D" w:rsidRPr="00FC1234" w:rsidRDefault="00F95B9D" w:rsidP="00F95B9D">
      <w:pPr>
        <w:spacing w:after="0" w:line="240" w:lineRule="auto"/>
        <w:ind w:left="720" w:hanging="720"/>
        <w:rPr>
          <w:rFonts w:ascii="Times New Roman" w:hAnsi="Times New Roman"/>
          <w:sz w:val="24"/>
          <w:szCs w:val="24"/>
        </w:rPr>
      </w:pPr>
      <w:proofErr w:type="spellStart"/>
      <w:r w:rsidRPr="00FC1234">
        <w:rPr>
          <w:rFonts w:ascii="Times New Roman" w:hAnsi="Times New Roman"/>
          <w:sz w:val="24"/>
          <w:szCs w:val="24"/>
          <w:highlight w:val="white"/>
        </w:rPr>
        <w:t>Ailawadi</w:t>
      </w:r>
      <w:proofErr w:type="spellEnd"/>
      <w:r w:rsidRPr="00FC1234">
        <w:rPr>
          <w:rFonts w:ascii="Times New Roman" w:hAnsi="Times New Roman"/>
          <w:sz w:val="24"/>
          <w:szCs w:val="24"/>
          <w:highlight w:val="white"/>
        </w:rPr>
        <w:t xml:space="preserve">, K. L., &amp; Farris, P. W. (2017). Managing multi- and omni-channel distribution: Metrics and research directions. </w:t>
      </w:r>
      <w:r w:rsidRPr="00FC1234">
        <w:rPr>
          <w:rFonts w:ascii="Times New Roman" w:hAnsi="Times New Roman"/>
          <w:i/>
          <w:sz w:val="24"/>
          <w:szCs w:val="24"/>
          <w:highlight w:val="white"/>
        </w:rPr>
        <w:t>Journal of Retailing, 93,</w:t>
      </w:r>
      <w:r w:rsidRPr="00FC1234">
        <w:rPr>
          <w:rFonts w:ascii="Times New Roman" w:hAnsi="Times New Roman"/>
          <w:sz w:val="24"/>
          <w:szCs w:val="24"/>
          <w:highlight w:val="white"/>
        </w:rPr>
        <w:t xml:space="preserve"> 120–135.</w:t>
      </w:r>
      <w:hyperlink r:id="rId8">
        <w:r w:rsidRPr="00FC1234">
          <w:rPr>
            <w:rFonts w:ascii="Times New Roman" w:hAnsi="Times New Roman"/>
            <w:sz w:val="24"/>
            <w:szCs w:val="24"/>
            <w:highlight w:val="white"/>
          </w:rPr>
          <w:t xml:space="preserve"> </w:t>
        </w:r>
      </w:hyperlink>
      <w:r w:rsidRPr="00FC1234">
        <w:rPr>
          <w:rFonts w:ascii="Times New Roman" w:hAnsi="Times New Roman"/>
          <w:sz w:val="24"/>
          <w:szCs w:val="24"/>
        </w:rPr>
        <w:t xml:space="preserve"> </w:t>
      </w:r>
    </w:p>
    <w:p w14:paraId="3CAB909A" w14:textId="77777777" w:rsidR="00F95B9D" w:rsidRPr="00FC1234" w:rsidRDefault="00F95B9D" w:rsidP="00F95B9D">
      <w:pPr>
        <w:spacing w:after="0" w:line="240" w:lineRule="auto"/>
        <w:ind w:left="720" w:hanging="720"/>
        <w:rPr>
          <w:rFonts w:ascii="Times New Roman" w:eastAsia="Times New Roman" w:hAnsi="Times New Roman"/>
          <w:sz w:val="24"/>
          <w:szCs w:val="24"/>
          <w:highlight w:val="white"/>
          <w:lang w:val="en"/>
        </w:rPr>
      </w:pPr>
      <w:r w:rsidRPr="00FC1234">
        <w:rPr>
          <w:rFonts w:ascii="Times New Roman" w:eastAsia="Times New Roman" w:hAnsi="Times New Roman"/>
          <w:sz w:val="24"/>
          <w:szCs w:val="24"/>
          <w:highlight w:val="white"/>
          <w:lang w:val="en"/>
        </w:rPr>
        <w:t xml:space="preserve">Beck, N., &amp; </w:t>
      </w:r>
      <w:proofErr w:type="spellStart"/>
      <w:r w:rsidRPr="00FC1234">
        <w:rPr>
          <w:rFonts w:ascii="Times New Roman" w:eastAsia="Times New Roman" w:hAnsi="Times New Roman"/>
          <w:sz w:val="24"/>
          <w:szCs w:val="24"/>
          <w:highlight w:val="white"/>
          <w:lang w:val="en"/>
        </w:rPr>
        <w:t>Rygl</w:t>
      </w:r>
      <w:proofErr w:type="spellEnd"/>
      <w:r w:rsidRPr="00FC1234">
        <w:rPr>
          <w:rFonts w:ascii="Times New Roman" w:eastAsia="Times New Roman" w:hAnsi="Times New Roman"/>
          <w:sz w:val="24"/>
          <w:szCs w:val="24"/>
          <w:highlight w:val="white"/>
          <w:lang w:val="en"/>
        </w:rPr>
        <w:t xml:space="preserve">, D. (2015). Categorization of multiple channel retailing in multi-, cross-, and omni‐channel retailing for retailers and retailing. </w:t>
      </w:r>
      <w:r w:rsidRPr="00FC1234">
        <w:rPr>
          <w:rFonts w:ascii="Times New Roman" w:eastAsia="Times New Roman" w:hAnsi="Times New Roman"/>
          <w:i/>
          <w:sz w:val="24"/>
          <w:szCs w:val="24"/>
          <w:highlight w:val="white"/>
          <w:lang w:val="en"/>
        </w:rPr>
        <w:t>Journal of Retailing and Consumer Services</w:t>
      </w:r>
      <w:r w:rsidRPr="00FC1234">
        <w:rPr>
          <w:rFonts w:ascii="Times New Roman" w:eastAsia="Times New Roman" w:hAnsi="Times New Roman"/>
          <w:sz w:val="24"/>
          <w:szCs w:val="24"/>
          <w:highlight w:val="white"/>
          <w:lang w:val="en"/>
        </w:rPr>
        <w:t xml:space="preserve">, </w:t>
      </w:r>
      <w:r w:rsidRPr="00FC1234">
        <w:rPr>
          <w:rFonts w:ascii="Times New Roman" w:eastAsia="Times New Roman" w:hAnsi="Times New Roman"/>
          <w:i/>
          <w:sz w:val="24"/>
          <w:szCs w:val="24"/>
          <w:highlight w:val="white"/>
          <w:lang w:val="en"/>
        </w:rPr>
        <w:t xml:space="preserve">27, </w:t>
      </w:r>
      <w:r w:rsidRPr="00FC1234">
        <w:rPr>
          <w:rFonts w:ascii="Times New Roman" w:eastAsia="Times New Roman" w:hAnsi="Times New Roman"/>
          <w:sz w:val="24"/>
          <w:szCs w:val="24"/>
          <w:highlight w:val="white"/>
          <w:lang w:val="en"/>
        </w:rPr>
        <w:t>170-178.</w:t>
      </w:r>
      <w:r>
        <w:rPr>
          <w:rFonts w:ascii="Times New Roman" w:eastAsia="Times New Roman" w:hAnsi="Times New Roman"/>
          <w:sz w:val="24"/>
          <w:szCs w:val="24"/>
          <w:highlight w:val="white"/>
          <w:lang w:val="en"/>
        </w:rPr>
        <w:tab/>
      </w:r>
    </w:p>
    <w:p w14:paraId="1CD727E8" w14:textId="77777777" w:rsidR="00F95B9D" w:rsidRPr="00FC1234" w:rsidRDefault="00F95B9D" w:rsidP="00F95B9D">
      <w:pPr>
        <w:spacing w:after="0" w:line="240" w:lineRule="auto"/>
        <w:ind w:left="720" w:hanging="720"/>
        <w:rPr>
          <w:rFonts w:ascii="Times New Roman" w:hAnsi="Times New Roman"/>
          <w:sz w:val="24"/>
          <w:szCs w:val="24"/>
        </w:rPr>
      </w:pPr>
      <w:r w:rsidRPr="00FC1234">
        <w:rPr>
          <w:rFonts w:ascii="Times New Roman" w:hAnsi="Times New Roman"/>
          <w:sz w:val="24"/>
          <w:szCs w:val="24"/>
        </w:rPr>
        <w:t xml:space="preserve">Fishbein, M. (1967). A behavior theory approach to the relations between beliefs about an object and the attitude toward the object. In M. Fishbein (Ed.), </w:t>
      </w:r>
      <w:r w:rsidRPr="00FC1234">
        <w:rPr>
          <w:rFonts w:ascii="Times New Roman" w:hAnsi="Times New Roman"/>
          <w:i/>
          <w:sz w:val="24"/>
          <w:szCs w:val="24"/>
        </w:rPr>
        <w:t>Readings in attitude theory and measurement</w:t>
      </w:r>
      <w:r w:rsidRPr="00FC1234">
        <w:rPr>
          <w:rFonts w:ascii="Times New Roman" w:hAnsi="Times New Roman"/>
          <w:sz w:val="24"/>
          <w:szCs w:val="24"/>
        </w:rPr>
        <w:t xml:space="preserve"> (pp. 389-400). John Wiley &amp; Sons.   </w:t>
      </w:r>
    </w:p>
    <w:p w14:paraId="0522BF75" w14:textId="77777777" w:rsidR="00F95B9D" w:rsidRPr="00FC1234" w:rsidRDefault="00F95B9D" w:rsidP="00F95B9D">
      <w:pPr>
        <w:spacing w:after="0" w:line="240" w:lineRule="auto"/>
        <w:ind w:left="720" w:hanging="720"/>
        <w:rPr>
          <w:rFonts w:ascii="Times New Roman" w:hAnsi="Times New Roman"/>
          <w:sz w:val="24"/>
          <w:szCs w:val="24"/>
          <w:highlight w:val="white"/>
        </w:rPr>
      </w:pPr>
      <w:r w:rsidRPr="00FC1234">
        <w:rPr>
          <w:rFonts w:ascii="Times New Roman" w:hAnsi="Times New Roman"/>
          <w:sz w:val="24"/>
          <w:szCs w:val="24"/>
          <w:highlight w:val="white"/>
        </w:rPr>
        <w:t xml:space="preserve">de Villiers, M. V., </w:t>
      </w:r>
      <w:proofErr w:type="spellStart"/>
      <w:r w:rsidRPr="00FC1234">
        <w:rPr>
          <w:rFonts w:ascii="Times New Roman" w:hAnsi="Times New Roman"/>
          <w:sz w:val="24"/>
          <w:szCs w:val="24"/>
          <w:highlight w:val="white"/>
        </w:rPr>
        <w:t>Chinomona</w:t>
      </w:r>
      <w:proofErr w:type="spellEnd"/>
      <w:r w:rsidRPr="00FC1234">
        <w:rPr>
          <w:rFonts w:ascii="Times New Roman" w:hAnsi="Times New Roman"/>
          <w:sz w:val="24"/>
          <w:szCs w:val="24"/>
          <w:highlight w:val="white"/>
        </w:rPr>
        <w:t xml:space="preserve">, R., &amp; </w:t>
      </w:r>
      <w:proofErr w:type="spellStart"/>
      <w:r w:rsidRPr="00FC1234">
        <w:rPr>
          <w:rFonts w:ascii="Times New Roman" w:hAnsi="Times New Roman"/>
          <w:sz w:val="24"/>
          <w:szCs w:val="24"/>
          <w:highlight w:val="white"/>
        </w:rPr>
        <w:t>Chuchu</w:t>
      </w:r>
      <w:proofErr w:type="spellEnd"/>
      <w:r w:rsidRPr="00FC1234">
        <w:rPr>
          <w:rFonts w:ascii="Times New Roman" w:hAnsi="Times New Roman"/>
          <w:sz w:val="24"/>
          <w:szCs w:val="24"/>
          <w:highlight w:val="white"/>
        </w:rPr>
        <w:t xml:space="preserve">, T. (2018). The influence of store environment on brand attitude, brand experience and purchase intention. </w:t>
      </w:r>
      <w:r w:rsidRPr="00FC1234">
        <w:rPr>
          <w:rFonts w:ascii="Times New Roman" w:hAnsi="Times New Roman"/>
          <w:i/>
          <w:sz w:val="24"/>
          <w:szCs w:val="24"/>
          <w:highlight w:val="white"/>
        </w:rPr>
        <w:t>South African Journal of Business Management, 49</w:t>
      </w:r>
      <w:r w:rsidRPr="00FC1234">
        <w:rPr>
          <w:rFonts w:ascii="Times New Roman" w:hAnsi="Times New Roman"/>
          <w:sz w:val="24"/>
          <w:szCs w:val="24"/>
          <w:highlight w:val="white"/>
        </w:rPr>
        <w:t>(1), 1-8.</w:t>
      </w:r>
    </w:p>
    <w:p w14:paraId="2445FD52" w14:textId="77777777" w:rsidR="00F95B9D" w:rsidRPr="00FC1234" w:rsidRDefault="00F95B9D" w:rsidP="00F95B9D">
      <w:pPr>
        <w:spacing w:after="0" w:line="240" w:lineRule="auto"/>
        <w:ind w:left="720" w:hanging="720"/>
        <w:rPr>
          <w:rFonts w:ascii="Times New Roman" w:hAnsi="Times New Roman"/>
          <w:i/>
          <w:sz w:val="24"/>
          <w:szCs w:val="24"/>
          <w:highlight w:val="white"/>
        </w:rPr>
      </w:pPr>
      <w:proofErr w:type="spellStart"/>
      <w:r w:rsidRPr="00FC1234">
        <w:rPr>
          <w:rFonts w:ascii="Times New Roman" w:hAnsi="Times New Roman"/>
          <w:sz w:val="24"/>
          <w:szCs w:val="24"/>
          <w:highlight w:val="white"/>
        </w:rPr>
        <w:t>Hure</w:t>
      </w:r>
      <w:proofErr w:type="spellEnd"/>
      <w:r w:rsidRPr="00FC1234">
        <w:rPr>
          <w:rFonts w:ascii="Times New Roman" w:hAnsi="Times New Roman"/>
          <w:sz w:val="24"/>
          <w:szCs w:val="24"/>
          <w:highlight w:val="white"/>
        </w:rPr>
        <w:t>, E., Picot-</w:t>
      </w:r>
      <w:proofErr w:type="spellStart"/>
      <w:r w:rsidRPr="00FC1234">
        <w:rPr>
          <w:rFonts w:ascii="Times New Roman" w:hAnsi="Times New Roman"/>
          <w:sz w:val="24"/>
          <w:szCs w:val="24"/>
          <w:highlight w:val="white"/>
        </w:rPr>
        <w:t>Coupey</w:t>
      </w:r>
      <w:proofErr w:type="spellEnd"/>
      <w:r w:rsidRPr="00FC1234">
        <w:rPr>
          <w:rFonts w:ascii="Times New Roman" w:hAnsi="Times New Roman"/>
          <w:sz w:val="24"/>
          <w:szCs w:val="24"/>
          <w:highlight w:val="white"/>
        </w:rPr>
        <w:t>, K., &amp; Ackermann, C. L. (2017). Understanding omni-channel shopping value: A mixed-method study.</w:t>
      </w:r>
      <w:r w:rsidRPr="00FC1234">
        <w:rPr>
          <w:rFonts w:ascii="Times New Roman" w:hAnsi="Times New Roman"/>
          <w:i/>
          <w:sz w:val="24"/>
          <w:szCs w:val="24"/>
          <w:highlight w:val="white"/>
        </w:rPr>
        <w:t xml:space="preserve"> Journal of Retailing and Consumer Services, 39, </w:t>
      </w:r>
      <w:r w:rsidRPr="00FC1234">
        <w:rPr>
          <w:rFonts w:ascii="Times New Roman" w:hAnsi="Times New Roman"/>
          <w:iCs/>
          <w:sz w:val="24"/>
          <w:szCs w:val="24"/>
          <w:highlight w:val="white"/>
        </w:rPr>
        <w:t>314-330</w:t>
      </w:r>
      <w:r w:rsidRPr="00FC1234">
        <w:rPr>
          <w:rFonts w:ascii="Times New Roman" w:hAnsi="Times New Roman"/>
          <w:i/>
          <w:sz w:val="24"/>
          <w:szCs w:val="24"/>
          <w:highlight w:val="white"/>
        </w:rPr>
        <w:t>.</w:t>
      </w:r>
    </w:p>
    <w:p w14:paraId="2C13F70D" w14:textId="77777777" w:rsidR="00F95B9D" w:rsidRPr="00FC1234" w:rsidRDefault="00F95B9D" w:rsidP="00F95B9D">
      <w:pPr>
        <w:spacing w:after="0" w:line="240" w:lineRule="auto"/>
        <w:ind w:left="720" w:hanging="720"/>
        <w:rPr>
          <w:rFonts w:ascii="Times New Roman" w:hAnsi="Times New Roman"/>
          <w:sz w:val="24"/>
          <w:szCs w:val="24"/>
          <w:highlight w:val="white"/>
        </w:rPr>
      </w:pPr>
      <w:r w:rsidRPr="00FC1234">
        <w:rPr>
          <w:rFonts w:ascii="Times New Roman" w:hAnsi="Times New Roman"/>
          <w:sz w:val="24"/>
          <w:szCs w:val="24"/>
          <w:highlight w:val="white"/>
        </w:rPr>
        <w:t xml:space="preserve">Kahn, B. E. (2017). Using visual design to improve customer perceptions of online assortments. </w:t>
      </w:r>
      <w:r w:rsidRPr="00FC1234">
        <w:rPr>
          <w:rFonts w:ascii="Times New Roman" w:hAnsi="Times New Roman"/>
          <w:i/>
          <w:sz w:val="24"/>
          <w:szCs w:val="24"/>
          <w:highlight w:val="white"/>
        </w:rPr>
        <w:t>Journal of Retailing</w:t>
      </w:r>
      <w:r w:rsidRPr="00FC1234">
        <w:rPr>
          <w:rFonts w:ascii="Times New Roman" w:hAnsi="Times New Roman"/>
          <w:sz w:val="24"/>
          <w:szCs w:val="24"/>
          <w:highlight w:val="white"/>
        </w:rPr>
        <w:t xml:space="preserve">, </w:t>
      </w:r>
      <w:r w:rsidRPr="00FC1234">
        <w:rPr>
          <w:rFonts w:ascii="Times New Roman" w:hAnsi="Times New Roman"/>
          <w:i/>
          <w:iCs/>
          <w:sz w:val="24"/>
          <w:szCs w:val="24"/>
          <w:highlight w:val="white"/>
        </w:rPr>
        <w:t>93</w:t>
      </w:r>
      <w:r w:rsidRPr="00FC1234">
        <w:rPr>
          <w:rFonts w:ascii="Times New Roman" w:hAnsi="Times New Roman"/>
          <w:sz w:val="24"/>
          <w:szCs w:val="24"/>
          <w:highlight w:val="white"/>
        </w:rPr>
        <w:t>(1), 29–42.</w:t>
      </w:r>
    </w:p>
    <w:p w14:paraId="14F97369" w14:textId="77777777" w:rsidR="00F95B9D" w:rsidRPr="00FC1234" w:rsidRDefault="00F95B9D" w:rsidP="00F95B9D">
      <w:pPr>
        <w:spacing w:after="0" w:line="240" w:lineRule="auto"/>
        <w:ind w:left="720" w:hanging="720"/>
        <w:rPr>
          <w:rFonts w:ascii="Times New Roman" w:hAnsi="Times New Roman"/>
          <w:sz w:val="24"/>
          <w:szCs w:val="24"/>
          <w:highlight w:val="white"/>
        </w:rPr>
      </w:pPr>
      <w:r w:rsidRPr="00FC1234">
        <w:rPr>
          <w:rFonts w:ascii="Times New Roman" w:hAnsi="Times New Roman"/>
          <w:sz w:val="24"/>
          <w:szCs w:val="24"/>
        </w:rPr>
        <w:t xml:space="preserve">Kim, H., &amp; </w:t>
      </w:r>
      <w:proofErr w:type="spellStart"/>
      <w:r w:rsidRPr="00FC1234">
        <w:rPr>
          <w:rFonts w:ascii="Times New Roman" w:hAnsi="Times New Roman"/>
          <w:sz w:val="24"/>
          <w:szCs w:val="24"/>
        </w:rPr>
        <w:t>Karpova</w:t>
      </w:r>
      <w:proofErr w:type="spellEnd"/>
      <w:r w:rsidRPr="00FC1234">
        <w:rPr>
          <w:rFonts w:ascii="Times New Roman" w:hAnsi="Times New Roman"/>
          <w:sz w:val="24"/>
          <w:szCs w:val="24"/>
        </w:rPr>
        <w:t xml:space="preserve">, E. (2020). Consumer attitudes toward fashion counterfeits: Application of the Theory of Planned Behavior. </w:t>
      </w:r>
      <w:r w:rsidRPr="00FC1234">
        <w:rPr>
          <w:rFonts w:ascii="Times New Roman" w:hAnsi="Times New Roman"/>
          <w:i/>
          <w:iCs/>
          <w:sz w:val="24"/>
          <w:szCs w:val="24"/>
        </w:rPr>
        <w:t>Clothing and Textiles Research Journal, 28</w:t>
      </w:r>
      <w:r w:rsidRPr="00FC1234">
        <w:rPr>
          <w:rFonts w:ascii="Times New Roman" w:hAnsi="Times New Roman"/>
          <w:sz w:val="24"/>
          <w:szCs w:val="24"/>
        </w:rPr>
        <w:t>(2), 79–94</w:t>
      </w:r>
      <w:r w:rsidRPr="00FC1234">
        <w:rPr>
          <w:rFonts w:ascii="Times New Roman" w:hAnsi="Times New Roman"/>
          <w:sz w:val="24"/>
          <w:szCs w:val="24"/>
          <w:highlight w:val="white"/>
        </w:rPr>
        <w:t xml:space="preserve"> </w:t>
      </w:r>
    </w:p>
    <w:p w14:paraId="40CD33C6" w14:textId="77777777" w:rsidR="00F95B9D" w:rsidRPr="00FC1234" w:rsidRDefault="00F95B9D" w:rsidP="00F95B9D">
      <w:pPr>
        <w:spacing w:after="0" w:line="240" w:lineRule="auto"/>
        <w:ind w:left="720" w:hanging="720"/>
        <w:rPr>
          <w:rFonts w:ascii="Times New Roman" w:hAnsi="Times New Roman"/>
          <w:sz w:val="24"/>
          <w:szCs w:val="24"/>
          <w:highlight w:val="white"/>
        </w:rPr>
      </w:pPr>
      <w:r w:rsidRPr="00FC1234">
        <w:rPr>
          <w:rFonts w:ascii="Times New Roman" w:hAnsi="Times New Roman"/>
          <w:sz w:val="24"/>
          <w:szCs w:val="24"/>
          <w:highlight w:val="white"/>
        </w:rPr>
        <w:t>Lee, K., &amp; Choi, J. (2019). Image-text inconsistency effect on product evaluation in online retailing.</w:t>
      </w:r>
      <w:r w:rsidRPr="00FC1234">
        <w:rPr>
          <w:rFonts w:ascii="Times New Roman" w:hAnsi="Times New Roman"/>
          <w:i/>
          <w:sz w:val="24"/>
          <w:szCs w:val="24"/>
          <w:highlight w:val="white"/>
        </w:rPr>
        <w:t xml:space="preserve"> Journal of Retailing and Consumer Services, 49, </w:t>
      </w:r>
      <w:r w:rsidRPr="00FC1234">
        <w:rPr>
          <w:rFonts w:ascii="Times New Roman" w:hAnsi="Times New Roman"/>
          <w:sz w:val="24"/>
          <w:szCs w:val="24"/>
          <w:highlight w:val="white"/>
        </w:rPr>
        <w:t>279–288.</w:t>
      </w:r>
    </w:p>
    <w:p w14:paraId="1B48085A" w14:textId="77777777" w:rsidR="00F95B9D" w:rsidRPr="00FC1234" w:rsidRDefault="00F95B9D" w:rsidP="00F95B9D">
      <w:pPr>
        <w:spacing w:after="0" w:line="240" w:lineRule="auto"/>
        <w:ind w:left="720" w:hanging="720"/>
        <w:rPr>
          <w:rFonts w:ascii="Times New Roman" w:eastAsia="Times New Roman" w:hAnsi="Times New Roman"/>
          <w:sz w:val="24"/>
          <w:szCs w:val="24"/>
          <w:highlight w:val="white"/>
          <w:lang w:val="en"/>
        </w:rPr>
      </w:pPr>
      <w:proofErr w:type="spellStart"/>
      <w:r w:rsidRPr="002170C6">
        <w:rPr>
          <w:rFonts w:ascii="Times New Roman" w:eastAsia="Times New Roman" w:hAnsi="Times New Roman"/>
          <w:sz w:val="24"/>
          <w:szCs w:val="24"/>
          <w:highlight w:val="white"/>
          <w:lang w:val="en"/>
        </w:rPr>
        <w:t>Mosteller</w:t>
      </w:r>
      <w:proofErr w:type="spellEnd"/>
      <w:r w:rsidRPr="002170C6">
        <w:rPr>
          <w:rFonts w:ascii="Times New Roman" w:eastAsia="Times New Roman" w:hAnsi="Times New Roman"/>
          <w:sz w:val="24"/>
          <w:szCs w:val="24"/>
          <w:highlight w:val="white"/>
          <w:lang w:val="en"/>
        </w:rPr>
        <w:t xml:space="preserve">, J., </w:t>
      </w:r>
      <w:proofErr w:type="spellStart"/>
      <w:r w:rsidRPr="002170C6">
        <w:rPr>
          <w:rFonts w:ascii="Times New Roman" w:eastAsia="Times New Roman" w:hAnsi="Times New Roman"/>
          <w:sz w:val="24"/>
          <w:szCs w:val="24"/>
          <w:highlight w:val="white"/>
          <w:lang w:val="en"/>
        </w:rPr>
        <w:t>Donthu</w:t>
      </w:r>
      <w:proofErr w:type="spellEnd"/>
      <w:r w:rsidRPr="002170C6">
        <w:rPr>
          <w:rFonts w:ascii="Times New Roman" w:eastAsia="Times New Roman" w:hAnsi="Times New Roman"/>
          <w:sz w:val="24"/>
          <w:szCs w:val="24"/>
          <w:highlight w:val="white"/>
          <w:lang w:val="en"/>
        </w:rPr>
        <w:t xml:space="preserve">, N., &amp; Eroglu, S. (2014). The fluent online shopping experience. </w:t>
      </w:r>
      <w:r w:rsidRPr="002170C6">
        <w:rPr>
          <w:rFonts w:ascii="Times New Roman" w:eastAsia="Times New Roman" w:hAnsi="Times New Roman"/>
          <w:i/>
          <w:sz w:val="24"/>
          <w:szCs w:val="24"/>
          <w:highlight w:val="white"/>
          <w:lang w:val="en"/>
        </w:rPr>
        <w:t>Journal of Business Research</w:t>
      </w:r>
      <w:r w:rsidRPr="002170C6">
        <w:rPr>
          <w:rFonts w:ascii="Times New Roman" w:eastAsia="Times New Roman" w:hAnsi="Times New Roman"/>
          <w:sz w:val="24"/>
          <w:szCs w:val="24"/>
          <w:highlight w:val="white"/>
          <w:lang w:val="en"/>
        </w:rPr>
        <w:t xml:space="preserve">, </w:t>
      </w:r>
      <w:r w:rsidRPr="002170C6">
        <w:rPr>
          <w:rFonts w:ascii="Times New Roman" w:eastAsia="Times New Roman" w:hAnsi="Times New Roman"/>
          <w:i/>
          <w:sz w:val="24"/>
          <w:szCs w:val="24"/>
          <w:highlight w:val="white"/>
          <w:lang w:val="en"/>
        </w:rPr>
        <w:t>67</w:t>
      </w:r>
      <w:r w:rsidRPr="002170C6">
        <w:rPr>
          <w:rFonts w:ascii="Times New Roman" w:eastAsia="Times New Roman" w:hAnsi="Times New Roman"/>
          <w:sz w:val="24"/>
          <w:szCs w:val="24"/>
          <w:highlight w:val="white"/>
          <w:lang w:val="en"/>
        </w:rPr>
        <w:t>(11), 2486–2493.</w:t>
      </w:r>
    </w:p>
    <w:p w14:paraId="68949D00" w14:textId="1B7DA520" w:rsidR="00F95B9D" w:rsidRPr="00FC1234" w:rsidRDefault="00F95B9D" w:rsidP="00F95B9D">
      <w:pPr>
        <w:spacing w:after="0" w:line="240" w:lineRule="auto"/>
        <w:ind w:left="720" w:hanging="720"/>
        <w:rPr>
          <w:rFonts w:ascii="Times New Roman" w:hAnsi="Times New Roman"/>
          <w:sz w:val="24"/>
          <w:szCs w:val="24"/>
          <w:highlight w:val="white"/>
        </w:rPr>
      </w:pPr>
      <w:proofErr w:type="spellStart"/>
      <w:r w:rsidRPr="00FC1234">
        <w:rPr>
          <w:rFonts w:ascii="Times New Roman" w:hAnsi="Times New Roman"/>
          <w:sz w:val="24"/>
          <w:szCs w:val="24"/>
          <w:highlight w:val="white"/>
        </w:rPr>
        <w:t>Neslin</w:t>
      </w:r>
      <w:proofErr w:type="spellEnd"/>
      <w:r w:rsidRPr="00FC1234">
        <w:rPr>
          <w:rFonts w:ascii="Times New Roman" w:hAnsi="Times New Roman"/>
          <w:sz w:val="24"/>
          <w:szCs w:val="24"/>
          <w:highlight w:val="white"/>
        </w:rPr>
        <w:t xml:space="preserve">, S. A., Grewal, D., Leghorn, R., Shankar, V., </w:t>
      </w:r>
      <w:proofErr w:type="spellStart"/>
      <w:r w:rsidRPr="00FC1234">
        <w:rPr>
          <w:rFonts w:ascii="Times New Roman" w:hAnsi="Times New Roman"/>
          <w:sz w:val="24"/>
          <w:szCs w:val="24"/>
          <w:highlight w:val="white"/>
        </w:rPr>
        <w:t>Teerling</w:t>
      </w:r>
      <w:proofErr w:type="spellEnd"/>
      <w:r w:rsidRPr="00FC1234">
        <w:rPr>
          <w:rFonts w:ascii="Times New Roman" w:hAnsi="Times New Roman"/>
          <w:sz w:val="24"/>
          <w:szCs w:val="24"/>
          <w:highlight w:val="white"/>
        </w:rPr>
        <w:t xml:space="preserve">, M. L., Thomas, J. S., &amp; Verhoef, P. C. (2006). Challenges and opportunities in multichannel customer management. </w:t>
      </w:r>
      <w:r w:rsidRPr="00FC1234">
        <w:rPr>
          <w:rFonts w:ascii="Times New Roman" w:hAnsi="Times New Roman"/>
          <w:i/>
          <w:sz w:val="24"/>
          <w:szCs w:val="24"/>
          <w:highlight w:val="white"/>
        </w:rPr>
        <w:t>Journal of Service Research, 9(2)</w:t>
      </w:r>
      <w:r w:rsidRPr="00FC1234">
        <w:rPr>
          <w:rFonts w:ascii="Times New Roman" w:hAnsi="Times New Roman"/>
          <w:sz w:val="24"/>
          <w:szCs w:val="24"/>
          <w:highlight w:val="white"/>
        </w:rPr>
        <w:t>, 95-112.</w:t>
      </w:r>
    </w:p>
    <w:p w14:paraId="2857E77D" w14:textId="77777777" w:rsidR="00F95B9D" w:rsidRPr="00FC1234" w:rsidRDefault="00F95B9D" w:rsidP="00F95B9D">
      <w:pPr>
        <w:spacing w:after="0" w:line="240" w:lineRule="auto"/>
        <w:ind w:left="720" w:hanging="720"/>
        <w:rPr>
          <w:rFonts w:ascii="Times New Roman" w:hAnsi="Times New Roman"/>
          <w:sz w:val="24"/>
          <w:szCs w:val="24"/>
          <w:highlight w:val="white"/>
        </w:rPr>
      </w:pPr>
      <w:r w:rsidRPr="00FC1234">
        <w:rPr>
          <w:rFonts w:ascii="Times New Roman" w:hAnsi="Times New Roman"/>
          <w:sz w:val="24"/>
          <w:szCs w:val="24"/>
          <w:highlight w:val="white"/>
        </w:rPr>
        <w:t xml:space="preserve">Shen, X. L., Li, Y. J., Sun, Y., &amp; Wang, N. (2018). </w:t>
      </w:r>
      <w:bookmarkStart w:id="2" w:name="_Hlk15329508"/>
      <w:r w:rsidRPr="00FC1234">
        <w:rPr>
          <w:rFonts w:ascii="Times New Roman" w:hAnsi="Times New Roman"/>
          <w:sz w:val="24"/>
          <w:szCs w:val="24"/>
          <w:highlight w:val="white"/>
        </w:rPr>
        <w:t>Channel integration quality, perceived fluency and omnichannel service usage: The moderating roles of internal and external usage experience.</w:t>
      </w:r>
      <w:bookmarkEnd w:id="2"/>
      <w:r w:rsidRPr="00FC1234">
        <w:rPr>
          <w:rFonts w:ascii="Times New Roman" w:hAnsi="Times New Roman"/>
          <w:sz w:val="24"/>
          <w:szCs w:val="24"/>
          <w:highlight w:val="white"/>
        </w:rPr>
        <w:t xml:space="preserve"> </w:t>
      </w:r>
      <w:r w:rsidRPr="00FC1234">
        <w:rPr>
          <w:rFonts w:ascii="Times New Roman" w:hAnsi="Times New Roman"/>
          <w:i/>
          <w:sz w:val="24"/>
          <w:szCs w:val="24"/>
          <w:highlight w:val="white"/>
        </w:rPr>
        <w:t>Decision Support Systems, 109</w:t>
      </w:r>
      <w:r w:rsidRPr="00FC1234">
        <w:rPr>
          <w:rFonts w:ascii="Times New Roman" w:hAnsi="Times New Roman"/>
          <w:sz w:val="24"/>
          <w:szCs w:val="24"/>
          <w:highlight w:val="white"/>
        </w:rPr>
        <w:t>, 61–73.</w:t>
      </w:r>
    </w:p>
    <w:p w14:paraId="1C93BBDF" w14:textId="77777777" w:rsidR="00B7625D" w:rsidRDefault="00F95B9D" w:rsidP="00F95B9D">
      <w:pPr>
        <w:spacing w:after="0" w:line="240" w:lineRule="auto"/>
        <w:ind w:left="720" w:hanging="720"/>
        <w:rPr>
          <w:rFonts w:ascii="Times New Roman" w:eastAsia="Times New Roman" w:hAnsi="Times New Roman"/>
          <w:sz w:val="24"/>
          <w:szCs w:val="24"/>
          <w:lang w:val="en"/>
        </w:rPr>
      </w:pPr>
      <w:r w:rsidRPr="00FC1234">
        <w:rPr>
          <w:rFonts w:ascii="Times New Roman" w:eastAsia="Times New Roman" w:hAnsi="Times New Roman"/>
          <w:sz w:val="24"/>
          <w:szCs w:val="24"/>
          <w:highlight w:val="white"/>
          <w:lang w:val="en"/>
        </w:rPr>
        <w:t xml:space="preserve">Verhoef, P. C., Kannan, P. K., &amp; Inman, J. J. (2015). From multi-channel retailing to omni-channel retailing: Introduction to the special issue on multi-channel retailing. </w:t>
      </w:r>
      <w:r w:rsidRPr="00FC1234">
        <w:rPr>
          <w:rFonts w:ascii="Times New Roman" w:eastAsia="Times New Roman" w:hAnsi="Times New Roman"/>
          <w:i/>
          <w:sz w:val="24"/>
          <w:szCs w:val="24"/>
          <w:highlight w:val="white"/>
          <w:lang w:val="en"/>
        </w:rPr>
        <w:t>Journal of Retailing, 91</w:t>
      </w:r>
      <w:r w:rsidRPr="00FC1234">
        <w:rPr>
          <w:rFonts w:ascii="Times New Roman" w:eastAsia="Times New Roman" w:hAnsi="Times New Roman"/>
          <w:sz w:val="24"/>
          <w:szCs w:val="24"/>
          <w:highlight w:val="white"/>
          <w:lang w:val="en"/>
        </w:rPr>
        <w:t>(2), 174–181.</w:t>
      </w:r>
    </w:p>
    <w:p w14:paraId="4A17435E" w14:textId="3BA336A1" w:rsidR="00C85693" w:rsidRPr="00097DD9" w:rsidRDefault="00F95B9D" w:rsidP="005D4975">
      <w:pPr>
        <w:spacing w:after="0" w:line="240" w:lineRule="auto"/>
        <w:ind w:left="720" w:hanging="720"/>
        <w:rPr>
          <w:rFonts w:ascii="Times New Roman" w:hAnsi="Times New Roman"/>
          <w:sz w:val="24"/>
          <w:szCs w:val="24"/>
        </w:rPr>
      </w:pPr>
      <w:r w:rsidRPr="00FC1234">
        <w:rPr>
          <w:rFonts w:ascii="Times New Roman" w:eastAsia="Times New Roman" w:hAnsi="Times New Roman"/>
          <w:sz w:val="24"/>
          <w:szCs w:val="24"/>
          <w:lang w:val="en"/>
        </w:rPr>
        <w:t xml:space="preserve">Zhang, M., Ren, C., Wang, G. A., &amp; He, Z. (2018). The impact of channel integration on consumer responses in omni-channel retailing: The mediating effect of consumer empowerment. </w:t>
      </w:r>
      <w:r w:rsidRPr="002339EF">
        <w:rPr>
          <w:rFonts w:ascii="Times New Roman" w:eastAsia="Times New Roman" w:hAnsi="Times New Roman"/>
          <w:i/>
          <w:iCs/>
          <w:sz w:val="24"/>
          <w:szCs w:val="24"/>
          <w:lang w:val="en"/>
        </w:rPr>
        <w:t>Electronic Commerce Research and Applications, 28</w:t>
      </w:r>
      <w:r w:rsidRPr="00FC1234">
        <w:rPr>
          <w:rFonts w:ascii="Times New Roman" w:eastAsia="Times New Roman" w:hAnsi="Times New Roman"/>
          <w:sz w:val="24"/>
          <w:szCs w:val="24"/>
          <w:lang w:val="en"/>
        </w:rPr>
        <w:t>, 181–193.</w:t>
      </w:r>
    </w:p>
    <w:sectPr w:rsidR="00C85693" w:rsidRPr="00097DD9" w:rsidSect="00486821">
      <w:headerReference w:type="even" r:id="rId9"/>
      <w:headerReference w:type="default" r:id="rId10"/>
      <w:footerReference w:type="even" r:id="rId11"/>
      <w:footerReference w:type="default" r:id="rId12"/>
      <w:headerReference w:type="first" r:id="rId13"/>
      <w:footerReference w:type="first" r:id="rId14"/>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A274F" w14:textId="77777777" w:rsidR="008D3277" w:rsidRDefault="008D3277" w:rsidP="00AF5871">
      <w:pPr>
        <w:spacing w:after="0" w:line="240" w:lineRule="auto"/>
      </w:pPr>
      <w:r>
        <w:separator/>
      </w:r>
    </w:p>
  </w:endnote>
  <w:endnote w:type="continuationSeparator" w:id="0">
    <w:p w14:paraId="2740501A" w14:textId="77777777" w:rsidR="008D3277" w:rsidRDefault="008D3277"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102D2689"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4ACCC0A2"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47F9732B"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4755B26E"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3CFB668"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7F94B0DA"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4741C" w14:textId="77777777" w:rsidR="008D3277" w:rsidRDefault="008D3277" w:rsidP="00AF5871">
      <w:pPr>
        <w:spacing w:after="0" w:line="240" w:lineRule="auto"/>
      </w:pPr>
      <w:r>
        <w:separator/>
      </w:r>
    </w:p>
  </w:footnote>
  <w:footnote w:type="continuationSeparator" w:id="0">
    <w:p w14:paraId="62BD726F" w14:textId="77777777" w:rsidR="008D3277" w:rsidRDefault="008D3277"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67386D51"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7C0B1B">
      <w:rPr>
        <w:rFonts w:ascii="Trebuchet MS" w:hAnsi="Trebuchet MS"/>
        <w:b/>
        <w:i/>
        <w:sz w:val="24"/>
        <w:szCs w:val="24"/>
      </w:rPr>
      <w:t>Virtual Conference</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7956B5"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474E2B44"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Pr="00672F2C">
      <w:rPr>
        <w:rFonts w:ascii="Trebuchet MS" w:hAnsi="Trebuchet MS"/>
        <w:b/>
        <w:sz w:val="24"/>
        <w:szCs w:val="24"/>
      </w:rPr>
      <w:t xml:space="preserve"> Proceedings</w:t>
    </w:r>
    <w:r w:rsidRPr="00672F2C">
      <w:rPr>
        <w:rFonts w:ascii="Trebuchet MS" w:hAnsi="Trebuchet MS"/>
        <w:b/>
        <w:sz w:val="24"/>
        <w:szCs w:val="24"/>
      </w:rPr>
      <w:tab/>
    </w:r>
    <w:r w:rsidR="007C0B1B" w:rsidRPr="007C0B1B">
      <w:rPr>
        <w:rFonts w:ascii="Trebuchet MS" w:hAnsi="Trebuchet MS"/>
        <w:b/>
        <w:i/>
        <w:iCs/>
        <w:sz w:val="24"/>
        <w:szCs w:val="24"/>
      </w:rPr>
      <w:t>Virtual Conference</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F21DA4"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" strokeweight="2pt"/>
          </w:pict>
        </mc:Fallback>
      </mc:AlternateContent>
    </w:r>
  </w:p>
  <w:p w14:paraId="7BBBF426" w14:textId="77777777" w:rsidR="006C2C74" w:rsidRDefault="006C2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069CF463" w:rsidR="00F637BF" w:rsidRDefault="0094170C" w:rsidP="00F637BF">
    <w:pPr>
      <w:pStyle w:val="Header"/>
      <w:jc w:val="right"/>
    </w:pPr>
    <w:r>
      <w:rPr>
        <w:noProof/>
        <w:lang w:eastAsia="zh-TW"/>
      </w:rPr>
      <mc:AlternateContent>
        <mc:Choice Requires="wps">
          <w:drawing>
            <wp:anchor distT="0" distB="0" distL="114300" distR="114300" simplePos="0" relativeHeight="251657728" behindDoc="0" locked="0" layoutInCell="1" allowOverlap="1" wp14:anchorId="4CA2F77A" wp14:editId="739718BD">
              <wp:simplePos x="0" y="0"/>
              <wp:positionH relativeFrom="column">
                <wp:posOffset>-104775</wp:posOffset>
              </wp:positionH>
              <wp:positionV relativeFrom="paragraph">
                <wp:posOffset>66675</wp:posOffset>
              </wp:positionV>
              <wp:extent cx="5200650" cy="5429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8.25pt;margin-top:5.25pt;width:409.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" stroked="f">
              <v:textbo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v:textbox>
            </v:shape>
          </w:pict>
        </mc:Fallback>
      </mc:AlternateContent>
    </w:r>
    <w:r>
      <w:rPr>
        <w:noProof/>
        <w:lang w:eastAsia="zh-TW"/>
      </w:rPr>
      <mc:AlternateContent>
        <mc:Choice Requires="wps">
          <w:drawing>
            <wp:anchor distT="0" distB="0" distL="114300" distR="114300" simplePos="0" relativeHeight="251656704" behindDoc="0" locked="0" layoutInCell="1" allowOverlap="1" wp14:anchorId="22FCEDA5" wp14:editId="40028E61">
              <wp:simplePos x="0" y="0"/>
              <wp:positionH relativeFrom="column">
                <wp:posOffset>5150485</wp:posOffset>
              </wp:positionH>
              <wp:positionV relativeFrom="paragraph">
                <wp:posOffset>-112395</wp:posOffset>
              </wp:positionV>
              <wp:extent cx="1212215" cy="1037590"/>
              <wp:effectExtent l="0" t="190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037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2FCEDA5" id="Text Box 6" o:spid="_x0000_s1027" type="#_x0000_t202" style="position:absolute;left:0;text-align:left;margin-left:405.55pt;margin-top:-8.85pt;width:95.45pt;height:81.7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" stroked="f">
              <v:textbox style="mso-fit-shape-to-text:t">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v:textbox>
            </v:shape>
          </w:pict>
        </mc:Fallback>
      </mc:AlternateContent>
    </w:r>
  </w:p>
  <w:p w14:paraId="4D9B0702" w14:textId="77777777" w:rsidR="00F637BF" w:rsidRDefault="00F637BF" w:rsidP="00F637BF">
    <w:pPr>
      <w:pStyle w:val="Header"/>
    </w:pPr>
  </w:p>
  <w:p w14:paraId="4F68A8CC" w14:textId="77777777" w:rsidR="00F637BF" w:rsidRDefault="00F637BF" w:rsidP="00F637BF">
    <w:pPr>
      <w:pStyle w:val="Header"/>
    </w:pPr>
  </w:p>
  <w:p w14:paraId="7D20887A" w14:textId="0476FF48"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48D091D2">
              <wp:simplePos x="0" y="0"/>
              <wp:positionH relativeFrom="column">
                <wp:posOffset>19050</wp:posOffset>
              </wp:positionH>
              <wp:positionV relativeFrom="paragraph">
                <wp:posOffset>126365</wp:posOffset>
              </wp:positionV>
              <wp:extent cx="5160010" cy="0"/>
              <wp:effectExtent l="19050" t="21590" r="21590" b="1651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00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CD872D" id="_x0000_t32" coordsize="21600,21600" o:spt="32" o:oned="t" path="m,l21600,21600e" filled="f">
              <v:path arrowok="t" fillok="f" o:connecttype="none"/>
              <o:lock v:ext="edit" shapetype="t"/>
            </v:shapetype>
            <v:shape id="AutoShape 8" o:spid="_x0000_s1026" type="#_x0000_t32" style="position:absolute;margin-left:1.5pt;margin-top:9.95pt;width:406.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
  </w:num>
  <w:num w:numId="4">
    <w:abstractNumId w:val="5"/>
  </w:num>
  <w:num w:numId="5">
    <w:abstractNumId w:val="10"/>
  </w:num>
  <w:num w:numId="6">
    <w:abstractNumId w:val="2"/>
  </w:num>
  <w:num w:numId="7">
    <w:abstractNumId w:val="9"/>
  </w:num>
  <w:num w:numId="8">
    <w:abstractNumId w:val="6"/>
  </w:num>
  <w:num w:numId="9">
    <w:abstractNumId w:val="7"/>
  </w:num>
  <w:num w:numId="10">
    <w:abstractNumId w:val="0"/>
  </w:num>
  <w:num w:numId="11">
    <w:abstractNumId w:val="8"/>
  </w:num>
  <w:num w:numId="12">
    <w:abstractNumId w:val="11"/>
  </w:num>
  <w:num w:numId="13">
    <w:abstractNumId w:val="14"/>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I0NrMwNzW3sDSxtLBU0lEKTi0uzszPAykwrgUAfd8WZSwAAAA="/>
  </w:docVars>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B7B05"/>
    <w:rsid w:val="000C1CB8"/>
    <w:rsid w:val="000C42C6"/>
    <w:rsid w:val="000D0293"/>
    <w:rsid w:val="000D06E2"/>
    <w:rsid w:val="000D09D8"/>
    <w:rsid w:val="000D34EC"/>
    <w:rsid w:val="000D362A"/>
    <w:rsid w:val="000D5746"/>
    <w:rsid w:val="000E1434"/>
    <w:rsid w:val="000E2455"/>
    <w:rsid w:val="000E24A7"/>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145C"/>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1C47"/>
    <w:rsid w:val="002B36F6"/>
    <w:rsid w:val="002C088D"/>
    <w:rsid w:val="002C3AD4"/>
    <w:rsid w:val="002C704D"/>
    <w:rsid w:val="002D7471"/>
    <w:rsid w:val="002D7FFE"/>
    <w:rsid w:val="002E3C65"/>
    <w:rsid w:val="002F3454"/>
    <w:rsid w:val="002F3799"/>
    <w:rsid w:val="002F47F9"/>
    <w:rsid w:val="002F51E4"/>
    <w:rsid w:val="003022AF"/>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417"/>
    <w:rsid w:val="00333FCF"/>
    <w:rsid w:val="00333FE8"/>
    <w:rsid w:val="0033535B"/>
    <w:rsid w:val="00335FB5"/>
    <w:rsid w:val="00337D62"/>
    <w:rsid w:val="00337E9B"/>
    <w:rsid w:val="00340253"/>
    <w:rsid w:val="00341AF0"/>
    <w:rsid w:val="0034275C"/>
    <w:rsid w:val="003432AD"/>
    <w:rsid w:val="00343F5A"/>
    <w:rsid w:val="00350E17"/>
    <w:rsid w:val="00350F1D"/>
    <w:rsid w:val="0035145E"/>
    <w:rsid w:val="00354620"/>
    <w:rsid w:val="00355D74"/>
    <w:rsid w:val="00356C82"/>
    <w:rsid w:val="0036273E"/>
    <w:rsid w:val="00363E17"/>
    <w:rsid w:val="003656EF"/>
    <w:rsid w:val="00371F11"/>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0B6E"/>
    <w:rsid w:val="003F10F7"/>
    <w:rsid w:val="003F5969"/>
    <w:rsid w:val="003F7127"/>
    <w:rsid w:val="003F7497"/>
    <w:rsid w:val="00402535"/>
    <w:rsid w:val="00404D13"/>
    <w:rsid w:val="004056A6"/>
    <w:rsid w:val="004101A8"/>
    <w:rsid w:val="00414C5A"/>
    <w:rsid w:val="004155FA"/>
    <w:rsid w:val="0041668A"/>
    <w:rsid w:val="0041691D"/>
    <w:rsid w:val="0041763F"/>
    <w:rsid w:val="00420F94"/>
    <w:rsid w:val="004240D7"/>
    <w:rsid w:val="00430F8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33B5"/>
    <w:rsid w:val="004949FE"/>
    <w:rsid w:val="004A0964"/>
    <w:rsid w:val="004A1977"/>
    <w:rsid w:val="004A6DA9"/>
    <w:rsid w:val="004B061A"/>
    <w:rsid w:val="004B68D7"/>
    <w:rsid w:val="004C1777"/>
    <w:rsid w:val="004C5B27"/>
    <w:rsid w:val="004C62C5"/>
    <w:rsid w:val="004D1F51"/>
    <w:rsid w:val="004D3C16"/>
    <w:rsid w:val="004D4B28"/>
    <w:rsid w:val="004E1F00"/>
    <w:rsid w:val="004E344D"/>
    <w:rsid w:val="004E34FD"/>
    <w:rsid w:val="004F1477"/>
    <w:rsid w:val="004F29BC"/>
    <w:rsid w:val="00500587"/>
    <w:rsid w:val="00505244"/>
    <w:rsid w:val="005112CD"/>
    <w:rsid w:val="00511484"/>
    <w:rsid w:val="0051225B"/>
    <w:rsid w:val="00513D1B"/>
    <w:rsid w:val="0051740D"/>
    <w:rsid w:val="00525B68"/>
    <w:rsid w:val="00527DA2"/>
    <w:rsid w:val="005303B0"/>
    <w:rsid w:val="005330BB"/>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4975"/>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43C2D"/>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2C74"/>
    <w:rsid w:val="006C497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25E18"/>
    <w:rsid w:val="00727D32"/>
    <w:rsid w:val="007324EA"/>
    <w:rsid w:val="00736C95"/>
    <w:rsid w:val="00737B40"/>
    <w:rsid w:val="00740850"/>
    <w:rsid w:val="0074480A"/>
    <w:rsid w:val="00744B73"/>
    <w:rsid w:val="00747AA0"/>
    <w:rsid w:val="007500BA"/>
    <w:rsid w:val="00750C2E"/>
    <w:rsid w:val="00753526"/>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FC9"/>
    <w:rsid w:val="007C4690"/>
    <w:rsid w:val="007C5DA4"/>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7C2A"/>
    <w:rsid w:val="00811AA6"/>
    <w:rsid w:val="008128D5"/>
    <w:rsid w:val="008132AC"/>
    <w:rsid w:val="0081434B"/>
    <w:rsid w:val="00815013"/>
    <w:rsid w:val="00815246"/>
    <w:rsid w:val="00816A5F"/>
    <w:rsid w:val="00820E73"/>
    <w:rsid w:val="00820F73"/>
    <w:rsid w:val="00821073"/>
    <w:rsid w:val="00822A78"/>
    <w:rsid w:val="00822E23"/>
    <w:rsid w:val="00823B00"/>
    <w:rsid w:val="00825970"/>
    <w:rsid w:val="00827C3C"/>
    <w:rsid w:val="00833DF5"/>
    <w:rsid w:val="008342D0"/>
    <w:rsid w:val="008408AC"/>
    <w:rsid w:val="00845023"/>
    <w:rsid w:val="0084660D"/>
    <w:rsid w:val="00847D17"/>
    <w:rsid w:val="00852316"/>
    <w:rsid w:val="008602BA"/>
    <w:rsid w:val="0086056F"/>
    <w:rsid w:val="0086124B"/>
    <w:rsid w:val="00861424"/>
    <w:rsid w:val="0086448C"/>
    <w:rsid w:val="008662F6"/>
    <w:rsid w:val="00866DC3"/>
    <w:rsid w:val="00870F6C"/>
    <w:rsid w:val="00875368"/>
    <w:rsid w:val="00876A32"/>
    <w:rsid w:val="00877EAD"/>
    <w:rsid w:val="00880018"/>
    <w:rsid w:val="0088325B"/>
    <w:rsid w:val="00885960"/>
    <w:rsid w:val="0088744A"/>
    <w:rsid w:val="008918F7"/>
    <w:rsid w:val="008973CD"/>
    <w:rsid w:val="0089755F"/>
    <w:rsid w:val="008A4571"/>
    <w:rsid w:val="008A5E09"/>
    <w:rsid w:val="008B4B8E"/>
    <w:rsid w:val="008B4FFB"/>
    <w:rsid w:val="008C216A"/>
    <w:rsid w:val="008C2AE7"/>
    <w:rsid w:val="008C438D"/>
    <w:rsid w:val="008D3277"/>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6CE1"/>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3C4A"/>
    <w:rsid w:val="00AD6217"/>
    <w:rsid w:val="00AD7E84"/>
    <w:rsid w:val="00AE178B"/>
    <w:rsid w:val="00AE21EF"/>
    <w:rsid w:val="00AE3620"/>
    <w:rsid w:val="00AE5DD7"/>
    <w:rsid w:val="00AF1379"/>
    <w:rsid w:val="00AF17CD"/>
    <w:rsid w:val="00AF2D22"/>
    <w:rsid w:val="00AF52FA"/>
    <w:rsid w:val="00AF5871"/>
    <w:rsid w:val="00AF7568"/>
    <w:rsid w:val="00B0096E"/>
    <w:rsid w:val="00B01702"/>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17FC"/>
    <w:rsid w:val="00B62A36"/>
    <w:rsid w:val="00B63F45"/>
    <w:rsid w:val="00B6537D"/>
    <w:rsid w:val="00B7393C"/>
    <w:rsid w:val="00B75AA8"/>
    <w:rsid w:val="00B761EF"/>
    <w:rsid w:val="00B7625D"/>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5FBD"/>
    <w:rsid w:val="00C12665"/>
    <w:rsid w:val="00C2064D"/>
    <w:rsid w:val="00C206AF"/>
    <w:rsid w:val="00C209B6"/>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95958"/>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0279"/>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1A1"/>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25D1"/>
    <w:rsid w:val="00EA5587"/>
    <w:rsid w:val="00EA78A3"/>
    <w:rsid w:val="00EB3104"/>
    <w:rsid w:val="00EC0428"/>
    <w:rsid w:val="00EC0B56"/>
    <w:rsid w:val="00EC18F6"/>
    <w:rsid w:val="00EC40DF"/>
    <w:rsid w:val="00EC6534"/>
    <w:rsid w:val="00ED0AA9"/>
    <w:rsid w:val="00ED121F"/>
    <w:rsid w:val="00ED2160"/>
    <w:rsid w:val="00ED224A"/>
    <w:rsid w:val="00ED4899"/>
    <w:rsid w:val="00ED5E4F"/>
    <w:rsid w:val="00ED6AF1"/>
    <w:rsid w:val="00ED703B"/>
    <w:rsid w:val="00ED7EDD"/>
    <w:rsid w:val="00EE0361"/>
    <w:rsid w:val="00EE20DD"/>
    <w:rsid w:val="00EE23F2"/>
    <w:rsid w:val="00EE3522"/>
    <w:rsid w:val="00EE3620"/>
    <w:rsid w:val="00EE4A75"/>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453BF"/>
    <w:rsid w:val="00F51256"/>
    <w:rsid w:val="00F56804"/>
    <w:rsid w:val="00F60B70"/>
    <w:rsid w:val="00F61CC9"/>
    <w:rsid w:val="00F637BF"/>
    <w:rsid w:val="00F63A97"/>
    <w:rsid w:val="00F64B5E"/>
    <w:rsid w:val="00F65EF8"/>
    <w:rsid w:val="00F71516"/>
    <w:rsid w:val="00F720F2"/>
    <w:rsid w:val="00F74265"/>
    <w:rsid w:val="00F75297"/>
    <w:rsid w:val="00F75584"/>
    <w:rsid w:val="00F76970"/>
    <w:rsid w:val="00F80A55"/>
    <w:rsid w:val="00F87AD1"/>
    <w:rsid w:val="00F87D08"/>
    <w:rsid w:val="00F91E91"/>
    <w:rsid w:val="00F92203"/>
    <w:rsid w:val="00F942B6"/>
    <w:rsid w:val="00F9440F"/>
    <w:rsid w:val="00F959FD"/>
    <w:rsid w:val="00F95B9D"/>
    <w:rsid w:val="00F95E28"/>
    <w:rsid w:val="00F96BD2"/>
    <w:rsid w:val="00FA3D2B"/>
    <w:rsid w:val="00FA42DA"/>
    <w:rsid w:val="00FA4AF3"/>
    <w:rsid w:val="00FA50D4"/>
    <w:rsid w:val="00FA7AE2"/>
    <w:rsid w:val="00FB1B18"/>
    <w:rsid w:val="00FB3281"/>
    <w:rsid w:val="00FB3D77"/>
    <w:rsid w:val="00FB6371"/>
    <w:rsid w:val="00FB71FB"/>
    <w:rsid w:val="00FB72C7"/>
    <w:rsid w:val="00FC2677"/>
    <w:rsid w:val="00FC72B0"/>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retai.2016.12.00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8769</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Kopot, Caroline</cp:lastModifiedBy>
  <cp:revision>26</cp:revision>
  <cp:lastPrinted>2010-03-03T19:14:00Z</cp:lastPrinted>
  <dcterms:created xsi:type="dcterms:W3CDTF">2021-12-13T04:37:00Z</dcterms:created>
  <dcterms:modified xsi:type="dcterms:W3CDTF">2021-12-13T05:01:00Z</dcterms:modified>
</cp:coreProperties>
</file>