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C1CE" w14:textId="77777777" w:rsidR="007F2C54" w:rsidRPr="007F2C54" w:rsidRDefault="007F2C54" w:rsidP="007F2C54">
      <w:pPr>
        <w:jc w:val="center"/>
        <w:rPr>
          <w:rFonts w:ascii="Times New Roman" w:eastAsia="Times New Roman" w:hAnsi="Times New Roman"/>
          <w:b/>
          <w:color w:val="242424"/>
          <w:sz w:val="28"/>
          <w:szCs w:val="28"/>
          <w:highlight w:val="white"/>
        </w:rPr>
      </w:pPr>
      <w:r w:rsidRPr="007F2C54">
        <w:rPr>
          <w:rFonts w:ascii="Times New Roman" w:eastAsia="Times New Roman" w:hAnsi="Times New Roman"/>
          <w:b/>
          <w:color w:val="242424"/>
          <w:sz w:val="28"/>
          <w:szCs w:val="28"/>
          <w:highlight w:val="white"/>
        </w:rPr>
        <w:t xml:space="preserve">Developing and validating scales to assess fashion organizations’ change-related effort toward the circular </w:t>
      </w:r>
      <w:proofErr w:type="gramStart"/>
      <w:r w:rsidRPr="007F2C54">
        <w:rPr>
          <w:rFonts w:ascii="Times New Roman" w:eastAsia="Times New Roman" w:hAnsi="Times New Roman"/>
          <w:b/>
          <w:color w:val="242424"/>
          <w:sz w:val="28"/>
          <w:szCs w:val="28"/>
          <w:highlight w:val="white"/>
        </w:rPr>
        <w:t>economy</w:t>
      </w:r>
      <w:proofErr w:type="gramEnd"/>
    </w:p>
    <w:p w14:paraId="25C115AC" w14:textId="77777777" w:rsidR="007F2C54" w:rsidRDefault="007F2C54" w:rsidP="007F2C54">
      <w:pPr>
        <w:spacing w:line="180" w:lineRule="exact"/>
        <w:jc w:val="center"/>
        <w:rPr>
          <w:rFonts w:ascii="Times New Roman" w:eastAsia="Times New Roman" w:hAnsi="Times New Roman"/>
          <w:bCs/>
          <w:sz w:val="21"/>
          <w:szCs w:val="21"/>
        </w:rPr>
      </w:pPr>
      <w:r w:rsidRPr="007F2C54">
        <w:rPr>
          <w:rFonts w:ascii="Times New Roman" w:eastAsia="Times New Roman" w:hAnsi="Times New Roman"/>
          <w:bCs/>
          <w:sz w:val="21"/>
          <w:szCs w:val="21"/>
        </w:rPr>
        <w:t xml:space="preserve">Chung-Wha (Chloe) </w:t>
      </w:r>
      <w:proofErr w:type="spellStart"/>
      <w:r w:rsidRPr="007F2C54">
        <w:rPr>
          <w:rFonts w:ascii="Times New Roman" w:eastAsia="Times New Roman" w:hAnsi="Times New Roman"/>
          <w:bCs/>
          <w:sz w:val="21"/>
          <w:szCs w:val="21"/>
        </w:rPr>
        <w:t>Ki,</w:t>
      </w:r>
      <w:proofErr w:type="spellEnd"/>
      <w:r w:rsidRPr="007F2C54">
        <w:rPr>
          <w:rFonts w:ascii="Times New Roman" w:eastAsia="Times New Roman" w:hAnsi="Times New Roman"/>
          <w:bCs/>
          <w:sz w:val="21"/>
          <w:szCs w:val="21"/>
        </w:rPr>
        <w:t xml:space="preserve"> Hong Kong Polytechnic University, Hong Kong SAR</w:t>
      </w:r>
    </w:p>
    <w:p w14:paraId="33A84F00" w14:textId="77777777" w:rsidR="007F2C54" w:rsidRDefault="007F2C54" w:rsidP="007F2C54">
      <w:pPr>
        <w:spacing w:line="180" w:lineRule="exact"/>
        <w:jc w:val="center"/>
        <w:rPr>
          <w:rFonts w:ascii="Times New Roman" w:eastAsia="Times New Roman" w:hAnsi="Times New Roman"/>
          <w:bCs/>
          <w:sz w:val="21"/>
          <w:szCs w:val="21"/>
        </w:rPr>
      </w:pPr>
      <w:r w:rsidRPr="007F2C54">
        <w:rPr>
          <w:rFonts w:ascii="Times New Roman" w:eastAsia="Times New Roman" w:hAnsi="Times New Roman"/>
          <w:bCs/>
          <w:sz w:val="21"/>
          <w:szCs w:val="21"/>
        </w:rPr>
        <w:t xml:space="preserve">Sze Man Chong, </w:t>
      </w:r>
      <w:r w:rsidRPr="007F2C54">
        <w:rPr>
          <w:rFonts w:ascii="Times New Roman" w:eastAsia="Times New Roman" w:hAnsi="Times New Roman"/>
          <w:bCs/>
          <w:sz w:val="21"/>
          <w:szCs w:val="21"/>
        </w:rPr>
        <w:t>Hong Kong Polytechnic University, Hong Kong</w:t>
      </w:r>
      <w:r w:rsidRPr="007F2C54">
        <w:rPr>
          <w:rFonts w:ascii="Times New Roman" w:eastAsia="Times New Roman" w:hAnsi="Times New Roman"/>
          <w:bCs/>
          <w:sz w:val="21"/>
          <w:szCs w:val="21"/>
        </w:rPr>
        <w:t xml:space="preserve"> SAR</w:t>
      </w:r>
    </w:p>
    <w:p w14:paraId="1FA9DDD2" w14:textId="0C304A8A" w:rsidR="007F2C54" w:rsidRPr="007F2C54" w:rsidRDefault="007F2C54" w:rsidP="007F2C54">
      <w:pPr>
        <w:spacing w:line="180" w:lineRule="exact"/>
        <w:jc w:val="center"/>
        <w:rPr>
          <w:rFonts w:ascii="Times New Roman" w:eastAsia="Times New Roman" w:hAnsi="Times New Roman"/>
          <w:bCs/>
          <w:sz w:val="21"/>
          <w:szCs w:val="21"/>
        </w:rPr>
      </w:pPr>
      <w:r w:rsidRPr="007F2C54">
        <w:rPr>
          <w:rFonts w:ascii="Times New Roman" w:eastAsia="Times New Roman" w:hAnsi="Times New Roman"/>
          <w:bCs/>
          <w:sz w:val="21"/>
          <w:szCs w:val="21"/>
        </w:rPr>
        <w:t>Ashley Chenn</w:t>
      </w:r>
      <w:r w:rsidRPr="007F2C54">
        <w:rPr>
          <w:rFonts w:ascii="Times New Roman" w:eastAsia="Times New Roman" w:hAnsi="Times New Roman"/>
          <w:bCs/>
          <w:sz w:val="21"/>
          <w:szCs w:val="21"/>
        </w:rPr>
        <w:t>, Hong Kong Polytechnic University, Hong Kong</w:t>
      </w:r>
      <w:r w:rsidRPr="007F2C54">
        <w:rPr>
          <w:rFonts w:ascii="Times New Roman" w:eastAsia="Times New Roman" w:hAnsi="Times New Roman"/>
          <w:bCs/>
          <w:sz w:val="21"/>
          <w:szCs w:val="21"/>
        </w:rPr>
        <w:t xml:space="preserve"> SAR</w:t>
      </w:r>
    </w:p>
    <w:p w14:paraId="5E510EDC" w14:textId="0BF2C253" w:rsidR="007F2C54" w:rsidRPr="007F2C54" w:rsidRDefault="007F2C54" w:rsidP="007F2C54">
      <w:pPr>
        <w:spacing w:line="180" w:lineRule="exact"/>
        <w:jc w:val="center"/>
        <w:rPr>
          <w:rFonts w:ascii="Times New Roman" w:eastAsia="Times New Roman" w:hAnsi="Times New Roman"/>
          <w:bCs/>
          <w:sz w:val="21"/>
          <w:szCs w:val="21"/>
        </w:rPr>
      </w:pPr>
      <w:proofErr w:type="spellStart"/>
      <w:r w:rsidRPr="007F2C54">
        <w:rPr>
          <w:rFonts w:ascii="Times New Roman" w:eastAsia="Times New Roman" w:hAnsi="Times New Roman"/>
          <w:bCs/>
          <w:sz w:val="21"/>
          <w:szCs w:val="21"/>
        </w:rPr>
        <w:t>Baolu</w:t>
      </w:r>
      <w:proofErr w:type="spellEnd"/>
      <w:r w:rsidRPr="007F2C54">
        <w:rPr>
          <w:rFonts w:ascii="Times New Roman" w:eastAsia="Times New Roman" w:hAnsi="Times New Roman"/>
          <w:bCs/>
          <w:sz w:val="21"/>
          <w:szCs w:val="21"/>
        </w:rPr>
        <w:t xml:space="preserve"> Wang, Beijing Institute of Fashion Technology, Mainland China</w:t>
      </w:r>
    </w:p>
    <w:p w14:paraId="08F66806" w14:textId="4C2C0C78" w:rsidR="007F2C54" w:rsidRPr="007F2C54" w:rsidRDefault="007F2C54" w:rsidP="007F2C54">
      <w:pPr>
        <w:spacing w:line="180" w:lineRule="exact"/>
        <w:jc w:val="center"/>
        <w:rPr>
          <w:rFonts w:ascii="Times New Roman" w:eastAsia="Times New Roman" w:hAnsi="Times New Roman"/>
          <w:bCs/>
          <w:sz w:val="21"/>
          <w:szCs w:val="21"/>
        </w:rPr>
      </w:pPr>
      <w:r w:rsidRPr="007F2C54">
        <w:rPr>
          <w:rFonts w:ascii="Times New Roman" w:eastAsia="Times New Roman" w:hAnsi="Times New Roman"/>
          <w:bCs/>
          <w:sz w:val="21"/>
          <w:szCs w:val="21"/>
        </w:rPr>
        <w:t>Jung Ha-Brookshire, University of Missouri, USA</w:t>
      </w:r>
    </w:p>
    <w:p w14:paraId="1AEC0FF2" w14:textId="728E79F4" w:rsidR="007F2C54" w:rsidRPr="007F2C54" w:rsidRDefault="007F2C54" w:rsidP="007F2C54">
      <w:pPr>
        <w:spacing w:line="200" w:lineRule="exact"/>
        <w:jc w:val="center"/>
        <w:rPr>
          <w:rFonts w:ascii="Times New Roman" w:eastAsia="Times New Roman" w:hAnsi="Times New Roman"/>
          <w:bCs/>
          <w:i/>
          <w:iCs/>
          <w:sz w:val="21"/>
          <w:szCs w:val="21"/>
        </w:rPr>
      </w:pPr>
      <w:r w:rsidRPr="007F2C54">
        <w:rPr>
          <w:rFonts w:ascii="Times New Roman" w:eastAsia="Times New Roman" w:hAnsi="Times New Roman"/>
          <w:bCs/>
          <w:i/>
          <w:iCs/>
          <w:sz w:val="21"/>
          <w:szCs w:val="21"/>
        </w:rPr>
        <w:t>Keywords: Circular Fashion; Circular Economy; Change-Related Effort; Scale Development</w:t>
      </w:r>
    </w:p>
    <w:p w14:paraId="404D5ACE" w14:textId="77777777" w:rsidR="007F2C54" w:rsidRDefault="007F2C54" w:rsidP="007F2C54">
      <w:pPr>
        <w:spacing w:line="40" w:lineRule="exact"/>
        <w:jc w:val="both"/>
        <w:rPr>
          <w:rFonts w:ascii="Times New Roman" w:eastAsia="Times New Roman" w:hAnsi="Times New Roman"/>
          <w:b/>
          <w:sz w:val="23"/>
          <w:szCs w:val="23"/>
          <w:u w:val="single"/>
        </w:rPr>
      </w:pPr>
    </w:p>
    <w:p w14:paraId="7BFD9B08" w14:textId="5EE98983" w:rsidR="007F2C54" w:rsidRDefault="007F2C54" w:rsidP="007F2C54">
      <w:pPr>
        <w:spacing w:line="260" w:lineRule="auto"/>
        <w:jc w:val="both"/>
        <w:rPr>
          <w:rFonts w:ascii="Times New Roman" w:eastAsia="Times New Roman" w:hAnsi="Times New Roman"/>
          <w:sz w:val="23"/>
          <w:szCs w:val="23"/>
        </w:rPr>
      </w:pPr>
      <w:r>
        <w:rPr>
          <w:rFonts w:ascii="Times New Roman" w:eastAsia="Times New Roman" w:hAnsi="Times New Roman"/>
          <w:b/>
          <w:sz w:val="23"/>
          <w:szCs w:val="23"/>
          <w:u w:val="single"/>
        </w:rPr>
        <w:t>Phenomenon, problem, and purpose statements</w:t>
      </w:r>
      <w:r>
        <w:rPr>
          <w:rFonts w:ascii="Times New Roman" w:eastAsia="Times New Roman" w:hAnsi="Times New Roman"/>
          <w:sz w:val="23"/>
          <w:szCs w:val="23"/>
        </w:rPr>
        <w:t xml:space="preserve">: In the prevailing linear economic (LE) model, fashion organizations (including textile and apparel [T&amp;A] organizations) have contributed substantially to environmental damage (McDonough &amp; </w:t>
      </w:r>
      <w:proofErr w:type="spellStart"/>
      <w:r>
        <w:rPr>
          <w:rFonts w:ascii="Times New Roman" w:eastAsia="Times New Roman" w:hAnsi="Times New Roman"/>
          <w:sz w:val="23"/>
          <w:szCs w:val="23"/>
        </w:rPr>
        <w:t>Braungart</w:t>
      </w:r>
      <w:proofErr w:type="spellEnd"/>
      <w:r>
        <w:rPr>
          <w:rFonts w:ascii="Times New Roman" w:eastAsia="Times New Roman" w:hAnsi="Times New Roman"/>
          <w:sz w:val="23"/>
          <w:szCs w:val="23"/>
        </w:rPr>
        <w:t>, 2002). This detrimental environmental damage has prompted calls to transition from the LE’s “take-make-waste” business model to a more sustainable, circular economic (CE) model that emphasizes “reuse and regeneration” (</w:t>
      </w:r>
      <w:proofErr w:type="spellStart"/>
      <w:r>
        <w:rPr>
          <w:rFonts w:ascii="Times New Roman" w:eastAsia="Times New Roman" w:hAnsi="Times New Roman"/>
          <w:sz w:val="23"/>
          <w:szCs w:val="23"/>
        </w:rPr>
        <w:t>Legl</w:t>
      </w:r>
      <w:proofErr w:type="spellEnd"/>
      <w:r>
        <w:rPr>
          <w:rFonts w:ascii="Times New Roman" w:eastAsia="Times New Roman" w:hAnsi="Times New Roman"/>
          <w:sz w:val="23"/>
          <w:szCs w:val="23"/>
        </w:rPr>
        <w:t xml:space="preserve">, 2022). Among those calling for a shift to the CE are Chinese policymakers. As China’s fashion industry is the world’s largest producer and exporter of T&amp;A (United Nations </w:t>
      </w:r>
      <w:proofErr w:type="spellStart"/>
      <w:r>
        <w:rPr>
          <w:rFonts w:ascii="Times New Roman" w:eastAsia="Times New Roman" w:hAnsi="Times New Roman"/>
          <w:sz w:val="23"/>
          <w:szCs w:val="23"/>
        </w:rPr>
        <w:t>Comtrade</w:t>
      </w:r>
      <w:proofErr w:type="spellEnd"/>
      <w:r>
        <w:rPr>
          <w:rFonts w:ascii="Times New Roman" w:eastAsia="Times New Roman" w:hAnsi="Times New Roman"/>
          <w:sz w:val="23"/>
          <w:szCs w:val="23"/>
        </w:rPr>
        <w:t xml:space="preserve">, 2022; WTO, 2022), it contributes significantly to the nation’s air and water pollution. To address this issue, the Chinese government has made increasing “change-related efforts” toward the CE, including its stated goal to recycle 25% of all textile waste and produce 2.2 million tons of recycled fiber within the next two years (Choi, 2022) </w:t>
      </w:r>
      <w:proofErr w:type="gramStart"/>
      <w:r>
        <w:rPr>
          <w:rFonts w:ascii="Times New Roman" w:eastAsia="Times New Roman" w:hAnsi="Times New Roman"/>
          <w:sz w:val="23"/>
          <w:szCs w:val="23"/>
        </w:rPr>
        <w:t>in order to</w:t>
      </w:r>
      <w:proofErr w:type="gramEnd"/>
      <w:r>
        <w:rPr>
          <w:rFonts w:ascii="Times New Roman" w:eastAsia="Times New Roman" w:hAnsi="Times New Roman"/>
          <w:sz w:val="23"/>
          <w:szCs w:val="23"/>
        </w:rPr>
        <w:t xml:space="preserve"> combat the 26 million tons of used clothing being discarded every year (To &amp; Kan, 2020). Due to this </w:t>
      </w:r>
      <w:r>
        <w:rPr>
          <w:rFonts w:ascii="Times New Roman" w:eastAsia="Times New Roman" w:hAnsi="Times New Roman"/>
          <w:i/>
          <w:sz w:val="23"/>
          <w:szCs w:val="23"/>
        </w:rPr>
        <w:t>external</w:t>
      </w:r>
      <w:r>
        <w:rPr>
          <w:rFonts w:ascii="Times New Roman" w:eastAsia="Times New Roman" w:hAnsi="Times New Roman"/>
          <w:sz w:val="23"/>
          <w:szCs w:val="23"/>
        </w:rPr>
        <w:t xml:space="preserve"> pressure and government regulations, some fashion organizations have begun to adopt CE business models that consider clothing as a service rather than a product (e.g., rental clothing models), while others have begun to engage their customers in CE practices through take-back offers (e.g., a fashion organization takes or buys back its own garments; Ki et al., 2020). Despite these efforts, it </w:t>
      </w:r>
      <w:proofErr w:type="gramStart"/>
      <w:r>
        <w:rPr>
          <w:rFonts w:ascii="Times New Roman" w:eastAsia="Times New Roman" w:hAnsi="Times New Roman"/>
          <w:sz w:val="23"/>
          <w:szCs w:val="23"/>
        </w:rPr>
        <w:t>still remains</w:t>
      </w:r>
      <w:proofErr w:type="gramEnd"/>
      <w:r>
        <w:rPr>
          <w:rFonts w:ascii="Times New Roman" w:eastAsia="Times New Roman" w:hAnsi="Times New Roman"/>
          <w:sz w:val="23"/>
          <w:szCs w:val="23"/>
        </w:rPr>
        <w:t xml:space="preserve"> unclear whether Chinese fashion organizations have the </w:t>
      </w:r>
      <w:r>
        <w:rPr>
          <w:rFonts w:ascii="Times New Roman" w:eastAsia="Times New Roman" w:hAnsi="Times New Roman"/>
          <w:i/>
          <w:sz w:val="23"/>
          <w:szCs w:val="23"/>
        </w:rPr>
        <w:t xml:space="preserve">intrinsic </w:t>
      </w:r>
      <w:r>
        <w:rPr>
          <w:rFonts w:ascii="Times New Roman" w:eastAsia="Times New Roman" w:hAnsi="Times New Roman"/>
          <w:sz w:val="23"/>
          <w:szCs w:val="23"/>
        </w:rPr>
        <w:t xml:space="preserve">motivation to champion efforts to change toward the CE, which can translate into positive economic, environmental, and social outcomes. This led us to develop an important research question: “Are Chinese fashion organizations making tangible efforts to change toward the CE at their own will?” To answer this question, we drew on the theory of organizational readiness for change (ORC; Weiner, 2009) and the methodological framework of item response theory (IRT; </w:t>
      </w:r>
      <w:proofErr w:type="spellStart"/>
      <w:r>
        <w:rPr>
          <w:rFonts w:ascii="Times New Roman" w:eastAsia="Times New Roman" w:hAnsi="Times New Roman"/>
          <w:sz w:val="23"/>
          <w:szCs w:val="23"/>
        </w:rPr>
        <w:t>Revicki</w:t>
      </w:r>
      <w:proofErr w:type="spellEnd"/>
      <w:r>
        <w:rPr>
          <w:rFonts w:ascii="Times New Roman" w:eastAsia="Times New Roman" w:hAnsi="Times New Roman"/>
          <w:sz w:val="23"/>
          <w:szCs w:val="23"/>
        </w:rPr>
        <w:t xml:space="preserve"> et al., 2014) to develop and validate a context-specific scale that measures </w:t>
      </w:r>
      <w:r>
        <w:rPr>
          <w:rFonts w:ascii="Times New Roman" w:eastAsia="Times New Roman" w:hAnsi="Times New Roman"/>
          <w:i/>
          <w:sz w:val="23"/>
          <w:szCs w:val="23"/>
        </w:rPr>
        <w:t>change-related effort toward the CE,</w:t>
      </w:r>
      <w:r>
        <w:rPr>
          <w:rFonts w:ascii="Times New Roman" w:eastAsia="Times New Roman" w:hAnsi="Times New Roman"/>
          <w:sz w:val="23"/>
          <w:szCs w:val="23"/>
        </w:rPr>
        <w:t xml:space="preserve"> tailored to Chinese fashion organizations given their key position in the fashion value chain.</w:t>
      </w:r>
    </w:p>
    <w:p w14:paraId="4B317239" w14:textId="77777777" w:rsidR="007F2C54" w:rsidRDefault="007F2C54" w:rsidP="007F2C54">
      <w:pPr>
        <w:spacing w:line="260" w:lineRule="auto"/>
        <w:jc w:val="both"/>
        <w:rPr>
          <w:rFonts w:ascii="Times New Roman" w:eastAsia="Times New Roman" w:hAnsi="Times New Roman"/>
          <w:sz w:val="23"/>
          <w:szCs w:val="23"/>
        </w:rPr>
      </w:pPr>
      <w:bookmarkStart w:id="0" w:name="_heading=h.gjdgxs" w:colFirst="0" w:colLast="0"/>
      <w:bookmarkEnd w:id="0"/>
      <w:r>
        <w:rPr>
          <w:rFonts w:ascii="Times New Roman" w:eastAsia="Times New Roman" w:hAnsi="Times New Roman"/>
          <w:b/>
          <w:sz w:val="23"/>
          <w:szCs w:val="23"/>
          <w:u w:val="single"/>
        </w:rPr>
        <w:t>Theoretical framework</w:t>
      </w:r>
      <w:r>
        <w:rPr>
          <w:rFonts w:ascii="Times New Roman" w:eastAsia="Times New Roman" w:hAnsi="Times New Roman"/>
          <w:sz w:val="23"/>
          <w:szCs w:val="23"/>
        </w:rPr>
        <w:t xml:space="preserve">: ORC is based on the premise that organizations encounter unexpected, yet critical and continuous change and therefore proposes that readily embracing and adapting to change </w:t>
      </w:r>
      <w:r>
        <w:rPr>
          <w:rFonts w:ascii="Times New Roman" w:eastAsia="Times New Roman" w:hAnsi="Times New Roman"/>
          <w:sz w:val="23"/>
          <w:szCs w:val="23"/>
        </w:rPr>
        <w:lastRenderedPageBreak/>
        <w:t>(e.g., a change to the CE) at their own accord is critical for their business success (Weiner, 2009).</w:t>
      </w:r>
      <w:r>
        <w:t xml:space="preserve"> </w:t>
      </w:r>
      <w:r>
        <w:rPr>
          <w:rFonts w:ascii="Times New Roman" w:eastAsia="Times New Roman" w:hAnsi="Times New Roman"/>
          <w:sz w:val="23"/>
          <w:szCs w:val="23"/>
        </w:rPr>
        <w:t xml:space="preserve">This </w:t>
      </w:r>
      <w:proofErr w:type="gramStart"/>
      <w:r>
        <w:rPr>
          <w:rFonts w:ascii="Times New Roman" w:eastAsia="Times New Roman" w:hAnsi="Times New Roman"/>
          <w:sz w:val="23"/>
          <w:szCs w:val="23"/>
        </w:rPr>
        <w:t>internally-driven</w:t>
      </w:r>
      <w:proofErr w:type="gramEnd"/>
      <w:r>
        <w:rPr>
          <w:rFonts w:ascii="Times New Roman" w:eastAsia="Times New Roman" w:hAnsi="Times New Roman"/>
          <w:sz w:val="23"/>
          <w:szCs w:val="23"/>
        </w:rPr>
        <w:t xml:space="preserve"> motivation to adapt/change fosters a higher level of </w:t>
      </w:r>
      <w:r>
        <w:rPr>
          <w:rFonts w:ascii="Times New Roman" w:eastAsia="Times New Roman" w:hAnsi="Times New Roman"/>
          <w:i/>
          <w:sz w:val="23"/>
          <w:szCs w:val="23"/>
        </w:rPr>
        <w:t>change commitment</w:t>
      </w:r>
      <w:r>
        <w:rPr>
          <w:rFonts w:ascii="Times New Roman" w:eastAsia="Times New Roman" w:hAnsi="Times New Roman"/>
          <w:sz w:val="23"/>
          <w:szCs w:val="23"/>
        </w:rPr>
        <w:t xml:space="preserve">, </w:t>
      </w:r>
      <w:r>
        <w:rPr>
          <w:rFonts w:ascii="Times New Roman" w:eastAsia="Times New Roman" w:hAnsi="Times New Roman"/>
          <w:i/>
          <w:sz w:val="23"/>
          <w:szCs w:val="23"/>
        </w:rPr>
        <w:t>change efficacy</w:t>
      </w:r>
      <w:r>
        <w:rPr>
          <w:rFonts w:ascii="Times New Roman" w:eastAsia="Times New Roman" w:hAnsi="Times New Roman"/>
          <w:sz w:val="23"/>
          <w:szCs w:val="23"/>
        </w:rPr>
        <w:t xml:space="preserve">, </w:t>
      </w:r>
      <w:r>
        <w:rPr>
          <w:rFonts w:ascii="Times New Roman" w:eastAsia="Times New Roman" w:hAnsi="Times New Roman"/>
          <w:i/>
          <w:sz w:val="23"/>
          <w:szCs w:val="23"/>
        </w:rPr>
        <w:t>change-related effort</w:t>
      </w:r>
      <w:r>
        <w:rPr>
          <w:rFonts w:ascii="Times New Roman" w:eastAsia="Times New Roman" w:hAnsi="Times New Roman"/>
          <w:sz w:val="23"/>
          <w:szCs w:val="23"/>
        </w:rPr>
        <w:t xml:space="preserve">, and </w:t>
      </w:r>
      <w:r>
        <w:rPr>
          <w:rFonts w:ascii="Times New Roman" w:eastAsia="Times New Roman" w:hAnsi="Times New Roman"/>
          <w:i/>
          <w:sz w:val="23"/>
          <w:szCs w:val="23"/>
        </w:rPr>
        <w:t>implementation effectiveness</w:t>
      </w:r>
      <w:r>
        <w:rPr>
          <w:rFonts w:ascii="Times New Roman" w:eastAsia="Times New Roman" w:hAnsi="Times New Roman"/>
          <w:sz w:val="23"/>
          <w:szCs w:val="23"/>
        </w:rPr>
        <w:t xml:space="preserve"> (Weiner, 2009). Change commitment (i.e., the intrinsic motivation to enact change) and change efficacy (i.e., the capability to respond to change) comprise the construct of </w:t>
      </w:r>
      <w:r>
        <w:rPr>
          <w:rFonts w:ascii="Times New Roman" w:eastAsia="Times New Roman" w:hAnsi="Times New Roman"/>
          <w:i/>
          <w:sz w:val="23"/>
          <w:szCs w:val="23"/>
        </w:rPr>
        <w:t>change readiness</w:t>
      </w:r>
      <w:r>
        <w:rPr>
          <w:rFonts w:ascii="Times New Roman" w:eastAsia="Times New Roman" w:hAnsi="Times New Roman"/>
          <w:sz w:val="23"/>
          <w:szCs w:val="23"/>
        </w:rPr>
        <w:t xml:space="preserve">, which is defined as how prepared an organization is to execute change (Holt &amp; Vardaman, 2013). Change readiness results in change-related effort, which Weiner (2009) defines as the collaborative and championing behaviors that an organization exhibits toward a specific change. This in turn affects implementation effectiveness (i.e., the consistency and quality of change-related outcomes). While a scale measuring fashion organizations’ change readiness is introduced and developed (Ki et al., 2022), the current literature still lacks a valid and reliable scale to measure fashion organizations’ change-related effort toward the CE. Change-related effort is an important construct to assess because of the convoluted and complex nature of the fashion value chain, which covers a range of functions from design to sourcing to waste management. </w:t>
      </w:r>
    </w:p>
    <w:p w14:paraId="42F7D956" w14:textId="77777777" w:rsidR="007F2C54" w:rsidRDefault="007F2C54" w:rsidP="007F2C54">
      <w:pPr>
        <w:spacing w:line="260" w:lineRule="auto"/>
        <w:jc w:val="both"/>
        <w:rPr>
          <w:rFonts w:ascii="Times New Roman" w:eastAsia="Times New Roman" w:hAnsi="Times New Roman"/>
          <w:sz w:val="23"/>
          <w:szCs w:val="23"/>
        </w:rPr>
      </w:pPr>
      <w:r>
        <w:rPr>
          <w:rFonts w:ascii="Times New Roman" w:eastAsia="Times New Roman" w:hAnsi="Times New Roman"/>
          <w:b/>
          <w:sz w:val="23"/>
          <w:szCs w:val="23"/>
          <w:u w:val="single"/>
        </w:rPr>
        <w:t>Method and results</w:t>
      </w:r>
      <w:r>
        <w:rPr>
          <w:rFonts w:ascii="Times New Roman" w:eastAsia="Times New Roman" w:hAnsi="Times New Roman"/>
          <w:sz w:val="23"/>
          <w:szCs w:val="23"/>
        </w:rPr>
        <w:t xml:space="preserve">: While ORC theory offers a useful framework to understand the major constructs to assess organizational change, it does not explain the specific dimensions necessary to measure and assess the change-related effort of a Chinese fashion organization. To fill this gap, we first conducted a systematic literature review to determine the dimensions of change-related effort specific to Chinese fashion organizations. From this review, we found six dimensions associated with change-related effort, including </w:t>
      </w:r>
      <w:r>
        <w:rPr>
          <w:rFonts w:ascii="Times New Roman" w:eastAsia="Times New Roman" w:hAnsi="Times New Roman"/>
          <w:i/>
          <w:sz w:val="23"/>
          <w:szCs w:val="23"/>
        </w:rPr>
        <w:t>eco-design</w:t>
      </w:r>
      <w:r>
        <w:rPr>
          <w:rFonts w:ascii="Times New Roman" w:eastAsia="Times New Roman" w:hAnsi="Times New Roman"/>
          <w:sz w:val="23"/>
          <w:szCs w:val="23"/>
        </w:rPr>
        <w:t xml:space="preserve">, </w:t>
      </w:r>
      <w:r>
        <w:rPr>
          <w:rFonts w:ascii="Times New Roman" w:eastAsia="Times New Roman" w:hAnsi="Times New Roman"/>
          <w:i/>
          <w:sz w:val="23"/>
          <w:szCs w:val="23"/>
        </w:rPr>
        <w:t>green sourcing</w:t>
      </w:r>
      <w:r>
        <w:rPr>
          <w:rFonts w:ascii="Times New Roman" w:eastAsia="Times New Roman" w:hAnsi="Times New Roman"/>
          <w:sz w:val="23"/>
          <w:szCs w:val="23"/>
        </w:rPr>
        <w:t xml:space="preserve">, </w:t>
      </w:r>
      <w:r>
        <w:rPr>
          <w:rFonts w:ascii="Times New Roman" w:eastAsia="Times New Roman" w:hAnsi="Times New Roman"/>
          <w:i/>
          <w:sz w:val="23"/>
          <w:szCs w:val="23"/>
        </w:rPr>
        <w:t>cleaner production</w:t>
      </w:r>
      <w:r>
        <w:rPr>
          <w:rFonts w:ascii="Times New Roman" w:eastAsia="Times New Roman" w:hAnsi="Times New Roman"/>
          <w:sz w:val="23"/>
          <w:szCs w:val="23"/>
        </w:rPr>
        <w:t xml:space="preserve">, </w:t>
      </w:r>
      <w:r>
        <w:rPr>
          <w:rFonts w:ascii="Times New Roman" w:eastAsia="Times New Roman" w:hAnsi="Times New Roman"/>
          <w:i/>
          <w:sz w:val="23"/>
          <w:szCs w:val="23"/>
        </w:rPr>
        <w:t>innovative business models</w:t>
      </w:r>
      <w:r>
        <w:rPr>
          <w:rFonts w:ascii="Times New Roman" w:eastAsia="Times New Roman" w:hAnsi="Times New Roman"/>
          <w:sz w:val="23"/>
          <w:szCs w:val="23"/>
        </w:rPr>
        <w:t xml:space="preserve">, </w:t>
      </w:r>
      <w:r>
        <w:rPr>
          <w:rFonts w:ascii="Times New Roman" w:eastAsia="Times New Roman" w:hAnsi="Times New Roman"/>
          <w:i/>
          <w:sz w:val="23"/>
          <w:szCs w:val="23"/>
        </w:rPr>
        <w:t>waste management</w:t>
      </w:r>
      <w:r>
        <w:rPr>
          <w:rFonts w:ascii="Times New Roman" w:eastAsia="Times New Roman" w:hAnsi="Times New Roman"/>
          <w:sz w:val="23"/>
          <w:szCs w:val="23"/>
        </w:rPr>
        <w:t xml:space="preserve">, and </w:t>
      </w:r>
      <w:r>
        <w:rPr>
          <w:rFonts w:ascii="Times New Roman" w:eastAsia="Times New Roman" w:hAnsi="Times New Roman"/>
          <w:i/>
          <w:sz w:val="23"/>
          <w:szCs w:val="23"/>
        </w:rPr>
        <w:t>customer engagement</w:t>
      </w:r>
      <w:r>
        <w:rPr>
          <w:rFonts w:ascii="Times New Roman" w:eastAsia="Times New Roman" w:hAnsi="Times New Roman"/>
          <w:sz w:val="23"/>
          <w:szCs w:val="23"/>
        </w:rPr>
        <w:t>.</w:t>
      </w:r>
      <w:r>
        <w:rPr>
          <w:rFonts w:ascii="Times New Roman" w:eastAsia="Times New Roman" w:hAnsi="Times New Roman"/>
          <w:i/>
          <w:sz w:val="23"/>
          <w:szCs w:val="23"/>
        </w:rPr>
        <w:t xml:space="preserve"> </w:t>
      </w:r>
      <w:r>
        <w:rPr>
          <w:rFonts w:ascii="Times New Roman" w:eastAsia="Times New Roman" w:hAnsi="Times New Roman"/>
          <w:sz w:val="23"/>
          <w:szCs w:val="23"/>
        </w:rPr>
        <w:t>Then, guided by IRT, a paradigm for investigating the relationship between an individual’s response to an item and an individual’s level of the latent trait (Wang et al., 2022), we applied a mixed-methods approach across three phases of study (see Figure 1). First, we generated pool of initial items (</w:t>
      </w:r>
      <w:r>
        <w:rPr>
          <w:rFonts w:ascii="Times New Roman" w:eastAsia="Times New Roman" w:hAnsi="Times New Roman"/>
          <w:i/>
        </w:rPr>
        <w:t>n</w:t>
      </w:r>
      <w:r>
        <w:rPr>
          <w:rFonts w:ascii="Times New Roman" w:eastAsia="Times New Roman" w:hAnsi="Times New Roman"/>
          <w:sz w:val="23"/>
          <w:szCs w:val="23"/>
        </w:rPr>
        <w:t>=267) for each dimension based on the systematic literature review and purified the initial items through binning (i.e., grouping) and winnowing (i.e., reducing). After binning and winnowing, 26 items remained. Second, we further refined items based on focus group sessions (</w:t>
      </w:r>
      <w:r>
        <w:rPr>
          <w:rFonts w:ascii="Times New Roman" w:eastAsia="Times New Roman" w:hAnsi="Times New Roman"/>
          <w:i/>
        </w:rPr>
        <w:t>n</w:t>
      </w:r>
      <w:r>
        <w:rPr>
          <w:rFonts w:ascii="Times New Roman" w:eastAsia="Times New Roman" w:hAnsi="Times New Roman"/>
        </w:rPr>
        <w:t xml:space="preserve">=9) </w:t>
      </w:r>
      <w:r>
        <w:rPr>
          <w:rFonts w:ascii="Times New Roman" w:eastAsia="Times New Roman" w:hAnsi="Times New Roman"/>
          <w:sz w:val="23"/>
          <w:szCs w:val="23"/>
        </w:rPr>
        <w:t>and cognitive interviews (</w:t>
      </w:r>
      <w:r>
        <w:rPr>
          <w:rFonts w:ascii="Times New Roman" w:eastAsia="Times New Roman" w:hAnsi="Times New Roman"/>
          <w:i/>
        </w:rPr>
        <w:t>n</w:t>
      </w:r>
      <w:r>
        <w:rPr>
          <w:rFonts w:ascii="Times New Roman" w:eastAsia="Times New Roman" w:hAnsi="Times New Roman"/>
        </w:rPr>
        <w:t xml:space="preserve">=10) </w:t>
      </w:r>
      <w:r>
        <w:rPr>
          <w:rFonts w:ascii="Times New Roman" w:eastAsia="Times New Roman" w:hAnsi="Times New Roman"/>
          <w:sz w:val="23"/>
          <w:szCs w:val="23"/>
        </w:rPr>
        <w:t>with Chinese fashion firm managers, which led to 25 expert-validated items. Third, we quantitatively validated the items using an online survey (</w:t>
      </w:r>
      <w:r>
        <w:rPr>
          <w:rFonts w:ascii="Times New Roman" w:eastAsia="Times New Roman" w:hAnsi="Times New Roman"/>
          <w:i/>
        </w:rPr>
        <w:t>n</w:t>
      </w:r>
      <w:r>
        <w:rPr>
          <w:rFonts w:ascii="Times New Roman" w:eastAsia="Times New Roman" w:hAnsi="Times New Roman"/>
        </w:rPr>
        <w:t xml:space="preserve">=500) </w:t>
      </w:r>
      <w:r>
        <w:rPr>
          <w:rFonts w:ascii="Times New Roman" w:eastAsia="Times New Roman" w:hAnsi="Times New Roman"/>
          <w:sz w:val="23"/>
          <w:szCs w:val="23"/>
        </w:rPr>
        <w:t xml:space="preserve">via </w:t>
      </w:r>
      <w:r>
        <w:rPr>
          <w:rFonts w:ascii="Times New Roman" w:eastAsia="Times New Roman" w:hAnsi="Times New Roman"/>
          <w:i/>
          <w:sz w:val="23"/>
          <w:szCs w:val="23"/>
        </w:rPr>
        <w:t>wenjuan.com</w:t>
      </w:r>
      <w:r>
        <w:rPr>
          <w:rFonts w:ascii="Times New Roman" w:eastAsia="Times New Roman" w:hAnsi="Times New Roman"/>
          <w:sz w:val="23"/>
          <w:szCs w:val="23"/>
        </w:rPr>
        <w:t xml:space="preserve"> and conducted reliability, construct validity, and test-fairness assessments on each item. As depicted in Table 1, the results of the study ultimately yielded seven valid scale items of change-related effort. </w:t>
      </w:r>
      <w:bookmarkStart w:id="1" w:name="_heading=h.30j0zll" w:colFirst="0" w:colLast="0"/>
      <w:bookmarkEnd w:id="1"/>
    </w:p>
    <w:p w14:paraId="39598FE9" w14:textId="77777777" w:rsidR="007F2C54" w:rsidRDefault="007F2C54" w:rsidP="007F2C54">
      <w:pPr>
        <w:spacing w:line="260" w:lineRule="auto"/>
        <w:jc w:val="both"/>
        <w:rPr>
          <w:rFonts w:ascii="Times New Roman" w:eastAsia="Times New Roman" w:hAnsi="Times New Roman"/>
          <w:sz w:val="23"/>
          <w:szCs w:val="23"/>
        </w:rPr>
      </w:pPr>
      <w:r>
        <w:rPr>
          <w:rFonts w:ascii="Times New Roman" w:eastAsia="Times New Roman" w:hAnsi="Times New Roman"/>
          <w:b/>
          <w:sz w:val="23"/>
          <w:szCs w:val="23"/>
          <w:u w:val="single"/>
        </w:rPr>
        <w:t>Implications</w:t>
      </w:r>
      <w:r>
        <w:rPr>
          <w:rFonts w:ascii="Times New Roman" w:eastAsia="Times New Roman" w:hAnsi="Times New Roman"/>
          <w:sz w:val="23"/>
          <w:szCs w:val="23"/>
        </w:rPr>
        <w:t xml:space="preserve">: Our change-related effort scale allows researchers, leaders of fashion organizations, and policymakers to measure the change-related efforts of Chinese fashion organizations, contributing to both theory and practice in several key aspects. First, our scale represents one of the first studies to measure change-related effort toward the CE using Chinese fashion organizations as the primary sample, providing a reliable and valid measurement tool. Second, this scale provides a current, context-specific measurement tool. As more fashion organizations shift toward the CE, this enables researchers to measure the key constructs relevant to shifting fashion organizations toward the CE, thus maintaining pace with the rapid advancements taking place in the fashion industry. Third, practitioners </w:t>
      </w:r>
      <w:r>
        <w:rPr>
          <w:rFonts w:ascii="Times New Roman" w:eastAsia="Times New Roman" w:hAnsi="Times New Roman"/>
          <w:sz w:val="23"/>
          <w:szCs w:val="23"/>
        </w:rPr>
        <w:lastRenderedPageBreak/>
        <w:t>can use our scale to measure their organization’s level of change-related effort and identify areas for improvement. This in turn allows the fashion organization to tailor where it focuses less or more effort and accomplish an effective shift toward the CE.</w:t>
      </w:r>
    </w:p>
    <w:p w14:paraId="6935748E" w14:textId="77777777" w:rsidR="001D16F0" w:rsidRDefault="001D16F0" w:rsidP="001D16F0">
      <w:pPr>
        <w:spacing w:line="200" w:lineRule="exact"/>
        <w:jc w:val="both"/>
        <w:rPr>
          <w:rFonts w:ascii="Times New Roman" w:eastAsia="Times New Roman" w:hAnsi="Times New Roman"/>
          <w:sz w:val="23"/>
          <w:szCs w:val="23"/>
        </w:rPr>
      </w:pPr>
    </w:p>
    <w:p w14:paraId="094533BA" w14:textId="3EDE176D" w:rsidR="001D16F0" w:rsidRDefault="007F2C54" w:rsidP="000A3A69">
      <w:pPr>
        <w:spacing w:line="220" w:lineRule="auto"/>
        <w:jc w:val="both"/>
        <w:rPr>
          <w:rFonts w:ascii="Times New Roman" w:eastAsia="Times New Roman" w:hAnsi="Times New Roman"/>
          <w:sz w:val="23"/>
          <w:szCs w:val="23"/>
        </w:rPr>
      </w:pPr>
      <w:r>
        <w:rPr>
          <w:rFonts w:ascii="Times New Roman" w:eastAsia="Times New Roman" w:hAnsi="Times New Roman"/>
          <w:sz w:val="23"/>
          <w:szCs w:val="23"/>
        </w:rPr>
        <w:t xml:space="preserve">Figure 1. </w:t>
      </w:r>
    </w:p>
    <w:p w14:paraId="66B2C188" w14:textId="1147C45F" w:rsidR="007F2C54" w:rsidRPr="00916434" w:rsidRDefault="007F2C54" w:rsidP="000A3A69">
      <w:pPr>
        <w:spacing w:line="220" w:lineRule="auto"/>
        <w:jc w:val="both"/>
        <w:rPr>
          <w:rFonts w:ascii="Times" w:eastAsia="Times" w:hAnsi="Times" w:cs="Times"/>
          <w:i/>
          <w:color w:val="000000"/>
        </w:rPr>
      </w:pPr>
      <w:r>
        <w:rPr>
          <w:rFonts w:ascii="Times" w:eastAsia="Times" w:hAnsi="Times" w:cs="Times"/>
          <w:i/>
          <w:color w:val="000000"/>
        </w:rPr>
        <w:t>Summary of the item development process</w:t>
      </w:r>
    </w:p>
    <w:p w14:paraId="72B76821" w14:textId="77777777" w:rsidR="007F2C54" w:rsidRDefault="007F2C54" w:rsidP="007F2C54">
      <w:pPr>
        <w:jc w:val="both"/>
        <w:rPr>
          <w:rFonts w:ascii="Times New Roman" w:eastAsia="Times New Roman" w:hAnsi="Times New Roman"/>
          <w:sz w:val="23"/>
          <w:szCs w:val="23"/>
        </w:rPr>
      </w:pPr>
      <w:r>
        <w:rPr>
          <w:rFonts w:ascii="Times New Roman" w:eastAsia="Times New Roman" w:hAnsi="Times New Roman"/>
          <w:noProof/>
          <w:sz w:val="23"/>
          <w:szCs w:val="23"/>
        </w:rPr>
        <w:drawing>
          <wp:inline distT="0" distB="0" distL="0" distR="0" wp14:anchorId="7CAAA39E" wp14:editId="3953E67A">
            <wp:extent cx="5727700" cy="1915160"/>
            <wp:effectExtent l="0" t="0" r="0" b="0"/>
            <wp:docPr id="1630889300" name="Picture 1630889300" descr="A diagram of a produc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630889300" name="Picture 1630889300" descr="A diagram of a product&#10;&#10;Description automatically generated with medium confidence"/>
                    <pic:cNvPicPr preferRelativeResize="0"/>
                  </pic:nvPicPr>
                  <pic:blipFill>
                    <a:blip r:embed="rId8"/>
                    <a:srcRect/>
                    <a:stretch>
                      <a:fillRect/>
                    </a:stretch>
                  </pic:blipFill>
                  <pic:spPr>
                    <a:xfrm>
                      <a:off x="0" y="0"/>
                      <a:ext cx="5727700" cy="1915160"/>
                    </a:xfrm>
                    <a:prstGeom prst="rect">
                      <a:avLst/>
                    </a:prstGeom>
                    <a:ln/>
                  </pic:spPr>
                </pic:pic>
              </a:graphicData>
            </a:graphic>
          </wp:inline>
        </w:drawing>
      </w:r>
    </w:p>
    <w:p w14:paraId="0647BC64" w14:textId="77777777" w:rsidR="001D16F0" w:rsidRDefault="001D16F0" w:rsidP="001D16F0">
      <w:pPr>
        <w:spacing w:line="200" w:lineRule="exact"/>
        <w:jc w:val="both"/>
        <w:rPr>
          <w:rFonts w:ascii="Times New Roman" w:eastAsia="Times New Roman" w:hAnsi="Times New Roman"/>
        </w:rPr>
      </w:pPr>
    </w:p>
    <w:p w14:paraId="295226BD" w14:textId="4FA4F494" w:rsidR="001D16F0" w:rsidRDefault="007F2C54" w:rsidP="007F2C54">
      <w:pPr>
        <w:spacing w:line="220" w:lineRule="auto"/>
        <w:jc w:val="both"/>
        <w:rPr>
          <w:rFonts w:ascii="Times New Roman" w:eastAsia="Times New Roman" w:hAnsi="Times New Roman"/>
        </w:rPr>
      </w:pPr>
      <w:r>
        <w:rPr>
          <w:rFonts w:ascii="Times New Roman" w:eastAsia="Times New Roman" w:hAnsi="Times New Roman"/>
        </w:rPr>
        <w:t xml:space="preserve">Table 1. </w:t>
      </w:r>
    </w:p>
    <w:p w14:paraId="28400A50" w14:textId="42C5621F" w:rsidR="007F2C54" w:rsidRDefault="007F2C54" w:rsidP="007F2C54">
      <w:pPr>
        <w:spacing w:line="220" w:lineRule="auto"/>
        <w:jc w:val="both"/>
        <w:rPr>
          <w:rFonts w:ascii="Times New Roman" w:eastAsia="Times New Roman" w:hAnsi="Times New Roman"/>
          <w:i/>
        </w:rPr>
      </w:pPr>
      <w:r>
        <w:rPr>
          <w:rFonts w:ascii="Times New Roman" w:eastAsia="Times New Roman" w:hAnsi="Times New Roman"/>
          <w:i/>
        </w:rPr>
        <w:t>Item parameter estimates and item fit statistics for the final change-related effort scale (n=7)</w:t>
      </w:r>
    </w:p>
    <w:tbl>
      <w:tblPr>
        <w:tblW w:w="9020" w:type="dxa"/>
        <w:tblBorders>
          <w:top w:val="single" w:sz="6" w:space="0" w:color="000000"/>
          <w:left w:val="nil"/>
          <w:bottom w:val="single" w:sz="6" w:space="0" w:color="000000"/>
          <w:right w:val="nil"/>
          <w:insideH w:val="single" w:sz="6" w:space="0" w:color="000000"/>
          <w:insideV w:val="nil"/>
        </w:tblBorders>
        <w:tblLayout w:type="fixed"/>
        <w:tblLook w:val="0400" w:firstRow="0" w:lastRow="0" w:firstColumn="0" w:lastColumn="0" w:noHBand="0" w:noVBand="1"/>
      </w:tblPr>
      <w:tblGrid>
        <w:gridCol w:w="1260"/>
        <w:gridCol w:w="4411"/>
        <w:gridCol w:w="539"/>
        <w:gridCol w:w="631"/>
        <w:gridCol w:w="449"/>
        <w:gridCol w:w="451"/>
        <w:gridCol w:w="814"/>
        <w:gridCol w:w="465"/>
      </w:tblGrid>
      <w:tr w:rsidR="007F2C54" w:rsidRPr="00916434" w14:paraId="65143196" w14:textId="77777777" w:rsidTr="00F36AAA">
        <w:trPr>
          <w:trHeight w:val="462"/>
        </w:trPr>
        <w:tc>
          <w:tcPr>
            <w:tcW w:w="1260" w:type="dxa"/>
            <w:vAlign w:val="center"/>
          </w:tcPr>
          <w:p w14:paraId="3BD8578F" w14:textId="77777777" w:rsidR="007F2C54" w:rsidRPr="00916434" w:rsidRDefault="007F2C54" w:rsidP="00F36AAA">
            <w:pPr>
              <w:spacing w:after="0" w:line="216" w:lineRule="auto"/>
              <w:jc w:val="both"/>
              <w:rPr>
                <w:rFonts w:ascii="Times New Roman" w:hAnsi="Times New Roman"/>
                <w:sz w:val="16"/>
                <w:szCs w:val="16"/>
              </w:rPr>
            </w:pPr>
            <w:r w:rsidRPr="00916434">
              <w:rPr>
                <w:rFonts w:ascii="Times New Roman" w:hAnsi="Times New Roman"/>
                <w:sz w:val="16"/>
                <w:szCs w:val="16"/>
              </w:rPr>
              <w:t>Dimension</w:t>
            </w:r>
          </w:p>
        </w:tc>
        <w:tc>
          <w:tcPr>
            <w:tcW w:w="4411" w:type="dxa"/>
            <w:vAlign w:val="center"/>
          </w:tcPr>
          <w:p w14:paraId="75A3ECA3" w14:textId="77777777" w:rsidR="007F2C54" w:rsidRPr="00916434" w:rsidRDefault="007F2C54" w:rsidP="00F36AAA">
            <w:pPr>
              <w:spacing w:after="0" w:line="216" w:lineRule="auto"/>
              <w:jc w:val="both"/>
              <w:rPr>
                <w:rFonts w:ascii="Times New Roman" w:hAnsi="Times New Roman"/>
                <w:sz w:val="16"/>
                <w:szCs w:val="16"/>
              </w:rPr>
            </w:pPr>
            <w:r w:rsidRPr="00916434">
              <w:rPr>
                <w:rFonts w:ascii="Times New Roman" w:hAnsi="Times New Roman"/>
                <w:sz w:val="16"/>
                <w:szCs w:val="16"/>
              </w:rPr>
              <w:t>Item</w:t>
            </w:r>
          </w:p>
        </w:tc>
        <w:tc>
          <w:tcPr>
            <w:tcW w:w="539" w:type="dxa"/>
            <w:vAlign w:val="center"/>
          </w:tcPr>
          <w:p w14:paraId="2CBA3016" w14:textId="77777777" w:rsidR="007F2C54" w:rsidRPr="00916434" w:rsidRDefault="007F2C54" w:rsidP="00F36AAA">
            <w:pPr>
              <w:spacing w:after="0" w:line="216" w:lineRule="auto"/>
              <w:jc w:val="both"/>
              <w:rPr>
                <w:rFonts w:ascii="Times New Roman" w:hAnsi="Times New Roman"/>
                <w:sz w:val="16"/>
                <w:szCs w:val="16"/>
              </w:rPr>
            </w:pPr>
            <w:r w:rsidRPr="00916434">
              <w:rPr>
                <w:rFonts w:ascii="Times New Roman" w:hAnsi="Times New Roman"/>
                <w:sz w:val="16"/>
                <w:szCs w:val="16"/>
              </w:rPr>
              <w:t>a</w:t>
            </w:r>
          </w:p>
        </w:tc>
        <w:tc>
          <w:tcPr>
            <w:tcW w:w="631" w:type="dxa"/>
            <w:vAlign w:val="center"/>
          </w:tcPr>
          <w:p w14:paraId="7DD39408" w14:textId="77777777" w:rsidR="007F2C54" w:rsidRPr="00916434" w:rsidRDefault="007F2C54" w:rsidP="00F36AAA">
            <w:pPr>
              <w:spacing w:after="0" w:line="216" w:lineRule="auto"/>
              <w:jc w:val="both"/>
              <w:rPr>
                <w:rFonts w:ascii="Times New Roman" w:hAnsi="Times New Roman"/>
                <w:sz w:val="16"/>
                <w:szCs w:val="16"/>
              </w:rPr>
            </w:pPr>
            <w:r w:rsidRPr="00916434">
              <w:rPr>
                <w:rFonts w:ascii="Times New Roman" w:hAnsi="Times New Roman"/>
                <w:sz w:val="16"/>
                <w:szCs w:val="16"/>
              </w:rPr>
              <w:t>S_X</w:t>
            </w:r>
            <w:r w:rsidRPr="00916434">
              <w:rPr>
                <w:rFonts w:ascii="Times New Roman" w:hAnsi="Times New Roman"/>
                <w:sz w:val="16"/>
                <w:szCs w:val="16"/>
                <w:vertAlign w:val="superscript"/>
              </w:rPr>
              <w:t>2</w:t>
            </w:r>
          </w:p>
        </w:tc>
        <w:tc>
          <w:tcPr>
            <w:tcW w:w="449" w:type="dxa"/>
            <w:vAlign w:val="center"/>
          </w:tcPr>
          <w:p w14:paraId="38E2E128" w14:textId="77777777" w:rsidR="007F2C54" w:rsidRPr="00916434" w:rsidRDefault="007F2C54" w:rsidP="00F36AAA">
            <w:pPr>
              <w:spacing w:after="0" w:line="216" w:lineRule="auto"/>
              <w:jc w:val="both"/>
              <w:rPr>
                <w:rFonts w:ascii="Times New Roman" w:hAnsi="Times New Roman"/>
                <w:sz w:val="16"/>
                <w:szCs w:val="16"/>
              </w:rPr>
            </w:pPr>
            <w:proofErr w:type="spellStart"/>
            <w:r w:rsidRPr="00916434">
              <w:rPr>
                <w:rFonts w:ascii="Times New Roman" w:hAnsi="Times New Roman"/>
                <w:sz w:val="16"/>
                <w:szCs w:val="16"/>
              </w:rPr>
              <w:t>df</w:t>
            </w:r>
            <w:proofErr w:type="spellEnd"/>
          </w:p>
        </w:tc>
        <w:tc>
          <w:tcPr>
            <w:tcW w:w="451" w:type="dxa"/>
            <w:vAlign w:val="center"/>
          </w:tcPr>
          <w:p w14:paraId="72E484E2" w14:textId="77777777" w:rsidR="007F2C54" w:rsidRPr="00916434" w:rsidRDefault="007F2C54" w:rsidP="00F36AAA">
            <w:pPr>
              <w:spacing w:after="0" w:line="216" w:lineRule="auto"/>
              <w:jc w:val="both"/>
              <w:rPr>
                <w:rFonts w:ascii="Times New Roman" w:hAnsi="Times New Roman"/>
                <w:sz w:val="16"/>
                <w:szCs w:val="16"/>
              </w:rPr>
            </w:pPr>
            <w:r w:rsidRPr="00916434">
              <w:rPr>
                <w:rFonts w:ascii="Times New Roman" w:hAnsi="Times New Roman"/>
                <w:sz w:val="16"/>
                <w:szCs w:val="16"/>
              </w:rPr>
              <w:t>p</w:t>
            </w:r>
          </w:p>
        </w:tc>
        <w:tc>
          <w:tcPr>
            <w:tcW w:w="814" w:type="dxa"/>
            <w:vAlign w:val="center"/>
          </w:tcPr>
          <w:p w14:paraId="43CACBA3" w14:textId="77777777" w:rsidR="007F2C54" w:rsidRPr="00916434" w:rsidRDefault="007F2C54" w:rsidP="00F36AAA">
            <w:pPr>
              <w:spacing w:after="0" w:line="216" w:lineRule="auto"/>
              <w:jc w:val="both"/>
              <w:rPr>
                <w:rFonts w:ascii="Times New Roman" w:hAnsi="Times New Roman"/>
                <w:sz w:val="16"/>
                <w:szCs w:val="16"/>
              </w:rPr>
            </w:pPr>
            <w:r w:rsidRPr="00916434">
              <w:rPr>
                <w:rFonts w:ascii="Times New Roman" w:hAnsi="Times New Roman"/>
                <w:sz w:val="16"/>
                <w:szCs w:val="16"/>
              </w:rPr>
              <w:t>M</w:t>
            </w:r>
            <w:r w:rsidRPr="00916434">
              <w:rPr>
                <w:rFonts w:ascii="Times New Roman" w:hAnsi="Times New Roman"/>
                <w:sz w:val="16"/>
                <w:szCs w:val="16"/>
                <w:vertAlign w:val="subscript"/>
              </w:rPr>
              <w:t>2</w:t>
            </w:r>
          </w:p>
        </w:tc>
        <w:tc>
          <w:tcPr>
            <w:tcW w:w="465" w:type="dxa"/>
            <w:vAlign w:val="center"/>
          </w:tcPr>
          <w:p w14:paraId="55F2F7AB" w14:textId="77777777" w:rsidR="007F2C54" w:rsidRPr="00916434" w:rsidRDefault="007F2C54" w:rsidP="00F36AAA">
            <w:pPr>
              <w:spacing w:after="0" w:line="216" w:lineRule="auto"/>
              <w:jc w:val="both"/>
              <w:rPr>
                <w:rFonts w:ascii="Times New Roman" w:hAnsi="Times New Roman"/>
                <w:sz w:val="16"/>
                <w:szCs w:val="16"/>
              </w:rPr>
            </w:pPr>
            <w:r w:rsidRPr="00916434">
              <w:rPr>
                <w:rFonts w:ascii="Times New Roman" w:hAnsi="Times New Roman"/>
                <w:sz w:val="16"/>
                <w:szCs w:val="16"/>
              </w:rPr>
              <w:t>α</w:t>
            </w:r>
          </w:p>
        </w:tc>
      </w:tr>
      <w:tr w:rsidR="007F2C54" w:rsidRPr="00916434" w14:paraId="05A9A923" w14:textId="77777777" w:rsidTr="00F36AAA">
        <w:trPr>
          <w:trHeight w:val="372"/>
        </w:trPr>
        <w:tc>
          <w:tcPr>
            <w:tcW w:w="1260" w:type="dxa"/>
            <w:vMerge w:val="restart"/>
          </w:tcPr>
          <w:p w14:paraId="52BF38DC" w14:textId="77777777" w:rsidR="007F2C54" w:rsidRPr="00916434" w:rsidRDefault="007F2C54" w:rsidP="00F36AAA">
            <w:pPr>
              <w:spacing w:after="0" w:line="216" w:lineRule="auto"/>
              <w:jc w:val="both"/>
              <w:rPr>
                <w:rFonts w:ascii="Times New Roman" w:hAnsi="Times New Roman"/>
                <w:sz w:val="16"/>
                <w:szCs w:val="16"/>
              </w:rPr>
            </w:pPr>
            <w:r w:rsidRPr="00916434">
              <w:rPr>
                <w:rFonts w:ascii="Times New Roman" w:hAnsi="Times New Roman"/>
                <w:sz w:val="16"/>
                <w:szCs w:val="16"/>
              </w:rPr>
              <w:t>Eco-design</w:t>
            </w:r>
          </w:p>
        </w:tc>
        <w:tc>
          <w:tcPr>
            <w:tcW w:w="4411" w:type="dxa"/>
          </w:tcPr>
          <w:p w14:paraId="0CF522F2" w14:textId="77777777" w:rsidR="007F2C54" w:rsidRPr="00916434" w:rsidRDefault="007F2C54" w:rsidP="00F36AAA">
            <w:pPr>
              <w:spacing w:after="0" w:line="216" w:lineRule="auto"/>
              <w:jc w:val="both"/>
              <w:rPr>
                <w:rFonts w:ascii="Times New Roman" w:hAnsi="Times New Roman"/>
                <w:sz w:val="18"/>
                <w:szCs w:val="18"/>
              </w:rPr>
            </w:pPr>
            <w:r w:rsidRPr="00916434">
              <w:rPr>
                <w:rFonts w:ascii="Times New Roman" w:hAnsi="Times New Roman"/>
                <w:sz w:val="18"/>
                <w:szCs w:val="18"/>
              </w:rPr>
              <w:t xml:space="preserve">The firm strives to implement the CE by designing products and/or services for low waste. </w:t>
            </w:r>
          </w:p>
        </w:tc>
        <w:tc>
          <w:tcPr>
            <w:tcW w:w="539" w:type="dxa"/>
          </w:tcPr>
          <w:p w14:paraId="334A5B48"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.99</w:t>
            </w:r>
          </w:p>
        </w:tc>
        <w:tc>
          <w:tcPr>
            <w:tcW w:w="631" w:type="dxa"/>
          </w:tcPr>
          <w:p w14:paraId="469CA9EE"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17.52</w:t>
            </w:r>
          </w:p>
        </w:tc>
        <w:tc>
          <w:tcPr>
            <w:tcW w:w="449" w:type="dxa"/>
          </w:tcPr>
          <w:p w14:paraId="032FE1F6"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15</w:t>
            </w:r>
          </w:p>
        </w:tc>
        <w:tc>
          <w:tcPr>
            <w:tcW w:w="451" w:type="dxa"/>
          </w:tcPr>
          <w:p w14:paraId="5EFC4D51"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.29</w:t>
            </w:r>
          </w:p>
        </w:tc>
        <w:tc>
          <w:tcPr>
            <w:tcW w:w="814" w:type="dxa"/>
            <w:vMerge w:val="restart"/>
          </w:tcPr>
          <w:p w14:paraId="102F0A0D"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M</w:t>
            </w:r>
            <w:r w:rsidRPr="00916434">
              <w:rPr>
                <w:rFonts w:ascii="Times New Roman" w:hAnsi="Times New Roman"/>
                <w:sz w:val="15"/>
                <w:szCs w:val="15"/>
                <w:vertAlign w:val="subscript"/>
              </w:rPr>
              <w:t>2</w:t>
            </w:r>
            <w:r w:rsidRPr="00916434">
              <w:rPr>
                <w:rFonts w:ascii="Times New Roman" w:hAnsi="Times New Roman"/>
                <w:sz w:val="15"/>
                <w:szCs w:val="15"/>
              </w:rPr>
              <w:t xml:space="preserve">(5) </w:t>
            </w:r>
          </w:p>
          <w:p w14:paraId="77A1553C"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 4.61</w:t>
            </w:r>
          </w:p>
          <w:p w14:paraId="034FC7B3"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RMSEA</w:t>
            </w:r>
            <w:r w:rsidRPr="00916434">
              <w:rPr>
                <w:rFonts w:ascii="Times New Roman" w:hAnsi="Times New Roman"/>
                <w:sz w:val="15"/>
                <w:szCs w:val="15"/>
                <w:vertAlign w:val="subscript"/>
              </w:rPr>
              <w:t>2</w:t>
            </w:r>
            <w:r w:rsidRPr="00916434">
              <w:rPr>
                <w:rFonts w:ascii="Times New Roman" w:hAnsi="Times New Roman"/>
                <w:sz w:val="15"/>
                <w:szCs w:val="15"/>
              </w:rPr>
              <w:t xml:space="preserve"> </w:t>
            </w:r>
          </w:p>
          <w:p w14:paraId="26ACDCE5"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 .06</w:t>
            </w:r>
          </w:p>
          <w:p w14:paraId="50A2FFE1"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 xml:space="preserve">SRMR </w:t>
            </w:r>
          </w:p>
          <w:p w14:paraId="183F3E8C"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 .03</w:t>
            </w:r>
          </w:p>
          <w:p w14:paraId="4D4F323D"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 xml:space="preserve">CFI </w:t>
            </w:r>
          </w:p>
          <w:p w14:paraId="72471C88"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 .98</w:t>
            </w:r>
          </w:p>
          <w:p w14:paraId="2D1E8D76"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 xml:space="preserve">TLI </w:t>
            </w:r>
          </w:p>
          <w:p w14:paraId="0825ABAE"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 .99</w:t>
            </w:r>
          </w:p>
        </w:tc>
        <w:tc>
          <w:tcPr>
            <w:tcW w:w="465" w:type="dxa"/>
            <w:vMerge w:val="restart"/>
          </w:tcPr>
          <w:p w14:paraId="2837F473"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.82</w:t>
            </w:r>
          </w:p>
        </w:tc>
      </w:tr>
      <w:tr w:rsidR="007F2C54" w:rsidRPr="00916434" w14:paraId="459A0E3C" w14:textId="77777777" w:rsidTr="00F36AAA">
        <w:trPr>
          <w:trHeight w:val="363"/>
        </w:trPr>
        <w:tc>
          <w:tcPr>
            <w:tcW w:w="1260" w:type="dxa"/>
            <w:vMerge/>
          </w:tcPr>
          <w:p w14:paraId="58CA5085" w14:textId="77777777" w:rsidR="007F2C54" w:rsidRPr="00916434" w:rsidRDefault="007F2C54" w:rsidP="00F36AAA">
            <w:pPr>
              <w:widowControl w:val="0"/>
              <w:pBdr>
                <w:top w:val="nil"/>
                <w:left w:val="nil"/>
                <w:bottom w:val="nil"/>
                <w:right w:val="nil"/>
                <w:between w:val="nil"/>
              </w:pBdr>
              <w:spacing w:after="0" w:line="216" w:lineRule="auto"/>
              <w:rPr>
                <w:rFonts w:ascii="Times New Roman" w:hAnsi="Times New Roman"/>
                <w:sz w:val="15"/>
                <w:szCs w:val="15"/>
              </w:rPr>
            </w:pPr>
          </w:p>
        </w:tc>
        <w:tc>
          <w:tcPr>
            <w:tcW w:w="4411" w:type="dxa"/>
          </w:tcPr>
          <w:p w14:paraId="647FEFFB" w14:textId="77777777" w:rsidR="007F2C54" w:rsidRPr="00916434" w:rsidRDefault="007F2C54" w:rsidP="00F36AAA">
            <w:pPr>
              <w:spacing w:after="0" w:line="216" w:lineRule="auto"/>
              <w:jc w:val="both"/>
              <w:rPr>
                <w:rFonts w:ascii="Times New Roman" w:hAnsi="Times New Roman"/>
                <w:sz w:val="18"/>
                <w:szCs w:val="18"/>
              </w:rPr>
            </w:pPr>
            <w:r w:rsidRPr="00916434">
              <w:rPr>
                <w:rFonts w:ascii="Times New Roman" w:hAnsi="Times New Roman"/>
                <w:sz w:val="18"/>
                <w:szCs w:val="18"/>
              </w:rPr>
              <w:t xml:space="preserve">The firm strives to implement the CE by designing products and/or services for longevity. </w:t>
            </w:r>
          </w:p>
        </w:tc>
        <w:tc>
          <w:tcPr>
            <w:tcW w:w="539" w:type="dxa"/>
          </w:tcPr>
          <w:p w14:paraId="1B265F14"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1.00</w:t>
            </w:r>
          </w:p>
        </w:tc>
        <w:tc>
          <w:tcPr>
            <w:tcW w:w="631" w:type="dxa"/>
          </w:tcPr>
          <w:p w14:paraId="2A1A5583"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22.95</w:t>
            </w:r>
          </w:p>
        </w:tc>
        <w:tc>
          <w:tcPr>
            <w:tcW w:w="449" w:type="dxa"/>
          </w:tcPr>
          <w:p w14:paraId="4F4F54DC"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15</w:t>
            </w:r>
          </w:p>
        </w:tc>
        <w:tc>
          <w:tcPr>
            <w:tcW w:w="451" w:type="dxa"/>
          </w:tcPr>
          <w:p w14:paraId="317766B2"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.09</w:t>
            </w:r>
          </w:p>
        </w:tc>
        <w:tc>
          <w:tcPr>
            <w:tcW w:w="814" w:type="dxa"/>
            <w:vMerge/>
          </w:tcPr>
          <w:p w14:paraId="4CAB8E49" w14:textId="77777777" w:rsidR="007F2C54" w:rsidRPr="00916434" w:rsidRDefault="007F2C54" w:rsidP="00F36AAA">
            <w:pPr>
              <w:widowControl w:val="0"/>
              <w:pBdr>
                <w:top w:val="nil"/>
                <w:left w:val="nil"/>
                <w:bottom w:val="nil"/>
                <w:right w:val="nil"/>
                <w:between w:val="nil"/>
              </w:pBdr>
              <w:spacing w:after="0" w:line="216" w:lineRule="auto"/>
              <w:rPr>
                <w:rFonts w:ascii="Times New Roman" w:hAnsi="Times New Roman"/>
                <w:sz w:val="15"/>
                <w:szCs w:val="15"/>
              </w:rPr>
            </w:pPr>
          </w:p>
        </w:tc>
        <w:tc>
          <w:tcPr>
            <w:tcW w:w="465" w:type="dxa"/>
            <w:vMerge/>
          </w:tcPr>
          <w:p w14:paraId="6C7E5544" w14:textId="77777777" w:rsidR="007F2C54" w:rsidRPr="00916434" w:rsidRDefault="007F2C54" w:rsidP="00F36AAA">
            <w:pPr>
              <w:widowControl w:val="0"/>
              <w:pBdr>
                <w:top w:val="nil"/>
                <w:left w:val="nil"/>
                <w:bottom w:val="nil"/>
                <w:right w:val="nil"/>
                <w:between w:val="nil"/>
              </w:pBdr>
              <w:spacing w:after="0" w:line="216" w:lineRule="auto"/>
              <w:rPr>
                <w:rFonts w:ascii="Times New Roman" w:hAnsi="Times New Roman"/>
                <w:sz w:val="15"/>
                <w:szCs w:val="15"/>
              </w:rPr>
            </w:pPr>
          </w:p>
        </w:tc>
      </w:tr>
      <w:tr w:rsidR="007F2C54" w:rsidRPr="00916434" w14:paraId="539A7B42" w14:textId="77777777" w:rsidTr="00F36AAA">
        <w:trPr>
          <w:trHeight w:val="372"/>
        </w:trPr>
        <w:tc>
          <w:tcPr>
            <w:tcW w:w="1260" w:type="dxa"/>
          </w:tcPr>
          <w:p w14:paraId="4220E971" w14:textId="77777777" w:rsidR="007F2C54" w:rsidRPr="00916434" w:rsidRDefault="007F2C54" w:rsidP="00F36AAA">
            <w:pPr>
              <w:spacing w:after="0" w:line="216" w:lineRule="auto"/>
              <w:jc w:val="both"/>
              <w:rPr>
                <w:rFonts w:ascii="Times New Roman" w:hAnsi="Times New Roman"/>
                <w:sz w:val="16"/>
                <w:szCs w:val="16"/>
              </w:rPr>
            </w:pPr>
            <w:r w:rsidRPr="00916434">
              <w:rPr>
                <w:rFonts w:ascii="Times New Roman" w:hAnsi="Times New Roman"/>
                <w:sz w:val="16"/>
                <w:szCs w:val="16"/>
              </w:rPr>
              <w:t>Green sourcing</w:t>
            </w:r>
          </w:p>
        </w:tc>
        <w:tc>
          <w:tcPr>
            <w:tcW w:w="4411" w:type="dxa"/>
          </w:tcPr>
          <w:p w14:paraId="03A85F22" w14:textId="77777777" w:rsidR="007F2C54" w:rsidRPr="00916434" w:rsidRDefault="007F2C54" w:rsidP="00F36AAA">
            <w:pPr>
              <w:spacing w:after="0" w:line="216" w:lineRule="auto"/>
              <w:jc w:val="both"/>
              <w:rPr>
                <w:rFonts w:ascii="Times New Roman" w:hAnsi="Times New Roman"/>
                <w:sz w:val="18"/>
                <w:szCs w:val="18"/>
              </w:rPr>
            </w:pPr>
            <w:r w:rsidRPr="00916434">
              <w:rPr>
                <w:rFonts w:ascii="Times New Roman" w:hAnsi="Times New Roman"/>
                <w:sz w:val="18"/>
                <w:szCs w:val="18"/>
              </w:rPr>
              <w:t xml:space="preserve">The firm strives to implement the CE by mentoring suppliers to improve their CE performance. </w:t>
            </w:r>
          </w:p>
        </w:tc>
        <w:tc>
          <w:tcPr>
            <w:tcW w:w="539" w:type="dxa"/>
          </w:tcPr>
          <w:p w14:paraId="6D564EFA"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.79</w:t>
            </w:r>
          </w:p>
        </w:tc>
        <w:tc>
          <w:tcPr>
            <w:tcW w:w="631" w:type="dxa"/>
          </w:tcPr>
          <w:p w14:paraId="2320AC6E"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21.29</w:t>
            </w:r>
          </w:p>
        </w:tc>
        <w:tc>
          <w:tcPr>
            <w:tcW w:w="449" w:type="dxa"/>
          </w:tcPr>
          <w:p w14:paraId="3783C91C"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15</w:t>
            </w:r>
          </w:p>
        </w:tc>
        <w:tc>
          <w:tcPr>
            <w:tcW w:w="451" w:type="dxa"/>
          </w:tcPr>
          <w:p w14:paraId="55C70625"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.13</w:t>
            </w:r>
          </w:p>
        </w:tc>
        <w:tc>
          <w:tcPr>
            <w:tcW w:w="814" w:type="dxa"/>
            <w:vMerge/>
          </w:tcPr>
          <w:p w14:paraId="4F43A483" w14:textId="77777777" w:rsidR="007F2C54" w:rsidRPr="00916434" w:rsidRDefault="007F2C54" w:rsidP="00F36AAA">
            <w:pPr>
              <w:widowControl w:val="0"/>
              <w:pBdr>
                <w:top w:val="nil"/>
                <w:left w:val="nil"/>
                <w:bottom w:val="nil"/>
                <w:right w:val="nil"/>
                <w:between w:val="nil"/>
              </w:pBdr>
              <w:spacing w:after="0" w:line="216" w:lineRule="auto"/>
              <w:rPr>
                <w:rFonts w:ascii="Times New Roman" w:hAnsi="Times New Roman"/>
                <w:sz w:val="15"/>
                <w:szCs w:val="15"/>
              </w:rPr>
            </w:pPr>
          </w:p>
        </w:tc>
        <w:tc>
          <w:tcPr>
            <w:tcW w:w="465" w:type="dxa"/>
            <w:vMerge/>
          </w:tcPr>
          <w:p w14:paraId="710B2515" w14:textId="77777777" w:rsidR="007F2C54" w:rsidRPr="00916434" w:rsidRDefault="007F2C54" w:rsidP="00F36AAA">
            <w:pPr>
              <w:widowControl w:val="0"/>
              <w:pBdr>
                <w:top w:val="nil"/>
                <w:left w:val="nil"/>
                <w:bottom w:val="nil"/>
                <w:right w:val="nil"/>
                <w:between w:val="nil"/>
              </w:pBdr>
              <w:spacing w:after="0" w:line="216" w:lineRule="auto"/>
              <w:rPr>
                <w:rFonts w:ascii="Times New Roman" w:hAnsi="Times New Roman"/>
                <w:sz w:val="15"/>
                <w:szCs w:val="15"/>
              </w:rPr>
            </w:pPr>
          </w:p>
        </w:tc>
      </w:tr>
      <w:tr w:rsidR="007F2C54" w:rsidRPr="00916434" w14:paraId="5E766986" w14:textId="77777777" w:rsidTr="00F36AAA">
        <w:trPr>
          <w:trHeight w:val="576"/>
        </w:trPr>
        <w:tc>
          <w:tcPr>
            <w:tcW w:w="1260" w:type="dxa"/>
          </w:tcPr>
          <w:p w14:paraId="68776AB7" w14:textId="77777777" w:rsidR="007F2C54" w:rsidRPr="00916434" w:rsidRDefault="007F2C54" w:rsidP="00F36AAA">
            <w:pPr>
              <w:spacing w:after="0" w:line="216" w:lineRule="auto"/>
              <w:jc w:val="both"/>
              <w:rPr>
                <w:rFonts w:ascii="Times New Roman" w:hAnsi="Times New Roman"/>
                <w:sz w:val="16"/>
                <w:szCs w:val="16"/>
              </w:rPr>
            </w:pPr>
            <w:r w:rsidRPr="00916434">
              <w:rPr>
                <w:rFonts w:ascii="Times New Roman" w:hAnsi="Times New Roman"/>
                <w:sz w:val="16"/>
                <w:szCs w:val="16"/>
              </w:rPr>
              <w:t>Cleaner production</w:t>
            </w:r>
          </w:p>
        </w:tc>
        <w:tc>
          <w:tcPr>
            <w:tcW w:w="4411" w:type="dxa"/>
          </w:tcPr>
          <w:p w14:paraId="4845E338" w14:textId="77777777" w:rsidR="007F2C54" w:rsidRPr="00916434" w:rsidRDefault="007F2C54" w:rsidP="00F36AAA">
            <w:pPr>
              <w:spacing w:after="0" w:line="216" w:lineRule="auto"/>
              <w:jc w:val="both"/>
              <w:rPr>
                <w:rFonts w:ascii="Times New Roman" w:hAnsi="Times New Roman"/>
                <w:sz w:val="18"/>
                <w:szCs w:val="18"/>
              </w:rPr>
            </w:pPr>
            <w:r w:rsidRPr="00916434">
              <w:rPr>
                <w:rFonts w:ascii="Times New Roman" w:hAnsi="Times New Roman"/>
                <w:sz w:val="18"/>
                <w:szCs w:val="18"/>
              </w:rPr>
              <w:t xml:space="preserve">The firm strives to implement the CE by replacing materials used in the production processes with less toxic, renewable, recyclable, and biodegradable materials. </w:t>
            </w:r>
          </w:p>
        </w:tc>
        <w:tc>
          <w:tcPr>
            <w:tcW w:w="539" w:type="dxa"/>
          </w:tcPr>
          <w:p w14:paraId="3C2AB509"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.88</w:t>
            </w:r>
          </w:p>
        </w:tc>
        <w:tc>
          <w:tcPr>
            <w:tcW w:w="631" w:type="dxa"/>
          </w:tcPr>
          <w:p w14:paraId="4D6FDE01"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9.24</w:t>
            </w:r>
          </w:p>
        </w:tc>
        <w:tc>
          <w:tcPr>
            <w:tcW w:w="449" w:type="dxa"/>
          </w:tcPr>
          <w:p w14:paraId="57A4ADFE"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15</w:t>
            </w:r>
          </w:p>
        </w:tc>
        <w:tc>
          <w:tcPr>
            <w:tcW w:w="451" w:type="dxa"/>
          </w:tcPr>
          <w:p w14:paraId="63B3DD1C"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.87</w:t>
            </w:r>
          </w:p>
        </w:tc>
        <w:tc>
          <w:tcPr>
            <w:tcW w:w="814" w:type="dxa"/>
            <w:vMerge/>
          </w:tcPr>
          <w:p w14:paraId="06367456" w14:textId="77777777" w:rsidR="007F2C54" w:rsidRPr="00916434" w:rsidRDefault="007F2C54" w:rsidP="00F36AAA">
            <w:pPr>
              <w:widowControl w:val="0"/>
              <w:pBdr>
                <w:top w:val="nil"/>
                <w:left w:val="nil"/>
                <w:bottom w:val="nil"/>
                <w:right w:val="nil"/>
                <w:between w:val="nil"/>
              </w:pBdr>
              <w:spacing w:after="0" w:line="216" w:lineRule="auto"/>
              <w:rPr>
                <w:rFonts w:ascii="Times New Roman" w:hAnsi="Times New Roman"/>
                <w:sz w:val="15"/>
                <w:szCs w:val="15"/>
              </w:rPr>
            </w:pPr>
          </w:p>
        </w:tc>
        <w:tc>
          <w:tcPr>
            <w:tcW w:w="465" w:type="dxa"/>
            <w:vMerge/>
          </w:tcPr>
          <w:p w14:paraId="7219AFB3" w14:textId="77777777" w:rsidR="007F2C54" w:rsidRPr="00916434" w:rsidRDefault="007F2C54" w:rsidP="00F36AAA">
            <w:pPr>
              <w:widowControl w:val="0"/>
              <w:pBdr>
                <w:top w:val="nil"/>
                <w:left w:val="nil"/>
                <w:bottom w:val="nil"/>
                <w:right w:val="nil"/>
                <w:between w:val="nil"/>
              </w:pBdr>
              <w:spacing w:after="0" w:line="216" w:lineRule="auto"/>
              <w:rPr>
                <w:rFonts w:ascii="Times New Roman" w:hAnsi="Times New Roman"/>
                <w:sz w:val="15"/>
                <w:szCs w:val="15"/>
              </w:rPr>
            </w:pPr>
          </w:p>
        </w:tc>
      </w:tr>
      <w:tr w:rsidR="007F2C54" w:rsidRPr="00916434" w14:paraId="0A0422B7" w14:textId="77777777" w:rsidTr="00F36AAA">
        <w:trPr>
          <w:trHeight w:val="453"/>
        </w:trPr>
        <w:tc>
          <w:tcPr>
            <w:tcW w:w="1260" w:type="dxa"/>
          </w:tcPr>
          <w:p w14:paraId="7FBB317D" w14:textId="77777777" w:rsidR="007F2C54" w:rsidRPr="00916434" w:rsidRDefault="007F2C54" w:rsidP="00F36AAA">
            <w:pPr>
              <w:spacing w:after="0" w:line="216" w:lineRule="auto"/>
              <w:jc w:val="both"/>
              <w:rPr>
                <w:rFonts w:ascii="Times New Roman" w:hAnsi="Times New Roman"/>
                <w:sz w:val="16"/>
                <w:szCs w:val="16"/>
              </w:rPr>
            </w:pPr>
            <w:r w:rsidRPr="00916434">
              <w:rPr>
                <w:rFonts w:ascii="Times New Roman" w:hAnsi="Times New Roman"/>
                <w:sz w:val="16"/>
                <w:szCs w:val="16"/>
              </w:rPr>
              <w:t>Innovative business models</w:t>
            </w:r>
          </w:p>
        </w:tc>
        <w:tc>
          <w:tcPr>
            <w:tcW w:w="4411" w:type="dxa"/>
          </w:tcPr>
          <w:p w14:paraId="4B667342" w14:textId="77777777" w:rsidR="007F2C54" w:rsidRPr="00916434" w:rsidRDefault="007F2C54" w:rsidP="00F36AAA">
            <w:pPr>
              <w:spacing w:after="0" w:line="216" w:lineRule="auto"/>
              <w:jc w:val="both"/>
              <w:rPr>
                <w:rFonts w:ascii="Times New Roman" w:hAnsi="Times New Roman"/>
                <w:sz w:val="18"/>
                <w:szCs w:val="18"/>
              </w:rPr>
            </w:pPr>
            <w:r w:rsidRPr="00916434">
              <w:rPr>
                <w:rFonts w:ascii="Times New Roman" w:hAnsi="Times New Roman"/>
                <w:sz w:val="18"/>
                <w:szCs w:val="18"/>
              </w:rPr>
              <w:t xml:space="preserve">The firm strives to implement the CE by adopting and/or providing new business models. </w:t>
            </w:r>
          </w:p>
        </w:tc>
        <w:tc>
          <w:tcPr>
            <w:tcW w:w="539" w:type="dxa"/>
          </w:tcPr>
          <w:p w14:paraId="346085B7"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1.13</w:t>
            </w:r>
          </w:p>
        </w:tc>
        <w:tc>
          <w:tcPr>
            <w:tcW w:w="631" w:type="dxa"/>
          </w:tcPr>
          <w:p w14:paraId="75F6960B"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27.09</w:t>
            </w:r>
          </w:p>
        </w:tc>
        <w:tc>
          <w:tcPr>
            <w:tcW w:w="449" w:type="dxa"/>
          </w:tcPr>
          <w:p w14:paraId="0FE718AA"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17</w:t>
            </w:r>
          </w:p>
        </w:tc>
        <w:tc>
          <w:tcPr>
            <w:tcW w:w="451" w:type="dxa"/>
          </w:tcPr>
          <w:p w14:paraId="2FA9DE31"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.06</w:t>
            </w:r>
          </w:p>
        </w:tc>
        <w:tc>
          <w:tcPr>
            <w:tcW w:w="814" w:type="dxa"/>
            <w:vMerge/>
          </w:tcPr>
          <w:p w14:paraId="22BDCCA1" w14:textId="77777777" w:rsidR="007F2C54" w:rsidRPr="00916434" w:rsidRDefault="007F2C54" w:rsidP="00F36AAA">
            <w:pPr>
              <w:widowControl w:val="0"/>
              <w:pBdr>
                <w:top w:val="nil"/>
                <w:left w:val="nil"/>
                <w:bottom w:val="nil"/>
                <w:right w:val="nil"/>
                <w:between w:val="nil"/>
              </w:pBdr>
              <w:spacing w:after="0" w:line="216" w:lineRule="auto"/>
              <w:rPr>
                <w:rFonts w:ascii="Times New Roman" w:hAnsi="Times New Roman"/>
                <w:sz w:val="15"/>
                <w:szCs w:val="15"/>
              </w:rPr>
            </w:pPr>
          </w:p>
        </w:tc>
        <w:tc>
          <w:tcPr>
            <w:tcW w:w="465" w:type="dxa"/>
            <w:vMerge/>
          </w:tcPr>
          <w:p w14:paraId="665FF342" w14:textId="77777777" w:rsidR="007F2C54" w:rsidRPr="00916434" w:rsidRDefault="007F2C54" w:rsidP="00F36AAA">
            <w:pPr>
              <w:widowControl w:val="0"/>
              <w:pBdr>
                <w:top w:val="nil"/>
                <w:left w:val="nil"/>
                <w:bottom w:val="nil"/>
                <w:right w:val="nil"/>
                <w:between w:val="nil"/>
              </w:pBdr>
              <w:spacing w:after="0" w:line="216" w:lineRule="auto"/>
              <w:rPr>
                <w:rFonts w:ascii="Times New Roman" w:hAnsi="Times New Roman"/>
                <w:sz w:val="15"/>
                <w:szCs w:val="15"/>
              </w:rPr>
            </w:pPr>
          </w:p>
        </w:tc>
      </w:tr>
      <w:tr w:rsidR="007F2C54" w:rsidRPr="00916434" w14:paraId="333F786B" w14:textId="77777777" w:rsidTr="00F36AAA">
        <w:trPr>
          <w:trHeight w:val="417"/>
        </w:trPr>
        <w:tc>
          <w:tcPr>
            <w:tcW w:w="1260" w:type="dxa"/>
          </w:tcPr>
          <w:p w14:paraId="5BB483FF" w14:textId="77777777" w:rsidR="007F2C54" w:rsidRPr="00916434" w:rsidRDefault="007F2C54" w:rsidP="00F36AAA">
            <w:pPr>
              <w:spacing w:after="0" w:line="216" w:lineRule="auto"/>
              <w:jc w:val="both"/>
              <w:rPr>
                <w:rFonts w:ascii="Times New Roman" w:hAnsi="Times New Roman"/>
                <w:sz w:val="16"/>
                <w:szCs w:val="16"/>
              </w:rPr>
            </w:pPr>
            <w:r w:rsidRPr="00916434">
              <w:rPr>
                <w:rFonts w:ascii="Times New Roman" w:hAnsi="Times New Roman"/>
                <w:sz w:val="16"/>
                <w:szCs w:val="16"/>
              </w:rPr>
              <w:t>Waste management</w:t>
            </w:r>
          </w:p>
        </w:tc>
        <w:tc>
          <w:tcPr>
            <w:tcW w:w="4411" w:type="dxa"/>
          </w:tcPr>
          <w:p w14:paraId="3738AC59" w14:textId="77777777" w:rsidR="007F2C54" w:rsidRPr="00916434" w:rsidRDefault="007F2C54" w:rsidP="00F36AAA">
            <w:pPr>
              <w:spacing w:after="0" w:line="216" w:lineRule="auto"/>
              <w:jc w:val="both"/>
              <w:rPr>
                <w:rFonts w:ascii="Times New Roman" w:hAnsi="Times New Roman"/>
                <w:sz w:val="18"/>
                <w:szCs w:val="18"/>
              </w:rPr>
            </w:pPr>
            <w:r w:rsidRPr="00916434">
              <w:rPr>
                <w:rFonts w:ascii="Times New Roman" w:hAnsi="Times New Roman"/>
                <w:sz w:val="18"/>
                <w:szCs w:val="18"/>
              </w:rPr>
              <w:t xml:space="preserve">The firm strives to implement the CE by providing activities/programs for extending the lifespan of materials. </w:t>
            </w:r>
          </w:p>
        </w:tc>
        <w:tc>
          <w:tcPr>
            <w:tcW w:w="539" w:type="dxa"/>
          </w:tcPr>
          <w:p w14:paraId="14389C97"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.83</w:t>
            </w:r>
          </w:p>
        </w:tc>
        <w:tc>
          <w:tcPr>
            <w:tcW w:w="631" w:type="dxa"/>
          </w:tcPr>
          <w:p w14:paraId="5ADC008E"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15.88</w:t>
            </w:r>
          </w:p>
        </w:tc>
        <w:tc>
          <w:tcPr>
            <w:tcW w:w="449" w:type="dxa"/>
          </w:tcPr>
          <w:p w14:paraId="450E2E2A"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15</w:t>
            </w:r>
          </w:p>
        </w:tc>
        <w:tc>
          <w:tcPr>
            <w:tcW w:w="451" w:type="dxa"/>
          </w:tcPr>
          <w:p w14:paraId="4C0DCE49"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.39</w:t>
            </w:r>
          </w:p>
        </w:tc>
        <w:tc>
          <w:tcPr>
            <w:tcW w:w="814" w:type="dxa"/>
            <w:vMerge/>
          </w:tcPr>
          <w:p w14:paraId="48AF95DE" w14:textId="77777777" w:rsidR="007F2C54" w:rsidRPr="00916434" w:rsidRDefault="007F2C54" w:rsidP="00F36AAA">
            <w:pPr>
              <w:widowControl w:val="0"/>
              <w:pBdr>
                <w:top w:val="nil"/>
                <w:left w:val="nil"/>
                <w:bottom w:val="nil"/>
                <w:right w:val="nil"/>
                <w:between w:val="nil"/>
              </w:pBdr>
              <w:spacing w:after="0" w:line="216" w:lineRule="auto"/>
              <w:rPr>
                <w:rFonts w:ascii="Times New Roman" w:hAnsi="Times New Roman"/>
                <w:sz w:val="15"/>
                <w:szCs w:val="15"/>
              </w:rPr>
            </w:pPr>
          </w:p>
        </w:tc>
        <w:tc>
          <w:tcPr>
            <w:tcW w:w="465" w:type="dxa"/>
            <w:vMerge/>
          </w:tcPr>
          <w:p w14:paraId="13154D34" w14:textId="77777777" w:rsidR="007F2C54" w:rsidRPr="00916434" w:rsidRDefault="007F2C54" w:rsidP="00F36AAA">
            <w:pPr>
              <w:widowControl w:val="0"/>
              <w:pBdr>
                <w:top w:val="nil"/>
                <w:left w:val="nil"/>
                <w:bottom w:val="nil"/>
                <w:right w:val="nil"/>
                <w:between w:val="nil"/>
              </w:pBdr>
              <w:spacing w:after="0" w:line="216" w:lineRule="auto"/>
              <w:rPr>
                <w:rFonts w:ascii="Times New Roman" w:hAnsi="Times New Roman"/>
                <w:sz w:val="15"/>
                <w:szCs w:val="15"/>
              </w:rPr>
            </w:pPr>
          </w:p>
        </w:tc>
      </w:tr>
      <w:tr w:rsidR="007F2C54" w:rsidRPr="00916434" w14:paraId="6E8A9C4D" w14:textId="77777777" w:rsidTr="00F36AAA">
        <w:trPr>
          <w:trHeight w:val="576"/>
        </w:trPr>
        <w:tc>
          <w:tcPr>
            <w:tcW w:w="1260" w:type="dxa"/>
          </w:tcPr>
          <w:p w14:paraId="24FB6103" w14:textId="77777777" w:rsidR="007F2C54" w:rsidRPr="00916434" w:rsidRDefault="007F2C54" w:rsidP="00F36AAA">
            <w:pPr>
              <w:spacing w:after="0" w:line="216" w:lineRule="auto"/>
              <w:jc w:val="both"/>
              <w:rPr>
                <w:rFonts w:ascii="Times New Roman" w:hAnsi="Times New Roman"/>
                <w:sz w:val="16"/>
                <w:szCs w:val="16"/>
              </w:rPr>
            </w:pPr>
            <w:r w:rsidRPr="00916434">
              <w:rPr>
                <w:rFonts w:ascii="Times New Roman" w:hAnsi="Times New Roman"/>
                <w:sz w:val="16"/>
                <w:szCs w:val="16"/>
              </w:rPr>
              <w:t>Customer engagement</w:t>
            </w:r>
          </w:p>
        </w:tc>
        <w:tc>
          <w:tcPr>
            <w:tcW w:w="4411" w:type="dxa"/>
          </w:tcPr>
          <w:p w14:paraId="5AC57626" w14:textId="77777777" w:rsidR="007F2C54" w:rsidRPr="00916434" w:rsidRDefault="007F2C54" w:rsidP="00F36AAA">
            <w:pPr>
              <w:spacing w:after="0" w:line="216" w:lineRule="auto"/>
              <w:jc w:val="both"/>
              <w:rPr>
                <w:rFonts w:ascii="Times New Roman" w:hAnsi="Times New Roman"/>
                <w:sz w:val="18"/>
                <w:szCs w:val="18"/>
              </w:rPr>
            </w:pPr>
            <w:r w:rsidRPr="00916434">
              <w:rPr>
                <w:rFonts w:ascii="Times New Roman" w:hAnsi="Times New Roman"/>
                <w:sz w:val="18"/>
                <w:szCs w:val="18"/>
              </w:rPr>
              <w:t xml:space="preserve">The firm strives to implement the CE by educating customers about how to take care of the products </w:t>
            </w:r>
            <w:proofErr w:type="gramStart"/>
            <w:r w:rsidRPr="00916434">
              <w:rPr>
                <w:rFonts w:ascii="Times New Roman" w:hAnsi="Times New Roman"/>
                <w:sz w:val="18"/>
                <w:szCs w:val="18"/>
              </w:rPr>
              <w:t>in order to</w:t>
            </w:r>
            <w:proofErr w:type="gramEnd"/>
            <w:r w:rsidRPr="00916434">
              <w:rPr>
                <w:rFonts w:ascii="Times New Roman" w:hAnsi="Times New Roman"/>
                <w:sz w:val="18"/>
                <w:szCs w:val="18"/>
              </w:rPr>
              <w:t xml:space="preserve"> extend product life or reduce waste. </w:t>
            </w:r>
          </w:p>
        </w:tc>
        <w:tc>
          <w:tcPr>
            <w:tcW w:w="539" w:type="dxa"/>
          </w:tcPr>
          <w:p w14:paraId="64526346"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1.02</w:t>
            </w:r>
          </w:p>
        </w:tc>
        <w:tc>
          <w:tcPr>
            <w:tcW w:w="631" w:type="dxa"/>
          </w:tcPr>
          <w:p w14:paraId="47B75B9B"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18.27</w:t>
            </w:r>
          </w:p>
        </w:tc>
        <w:tc>
          <w:tcPr>
            <w:tcW w:w="449" w:type="dxa"/>
          </w:tcPr>
          <w:p w14:paraId="604227B7"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15</w:t>
            </w:r>
          </w:p>
        </w:tc>
        <w:tc>
          <w:tcPr>
            <w:tcW w:w="451" w:type="dxa"/>
          </w:tcPr>
          <w:p w14:paraId="64FA9296" w14:textId="77777777" w:rsidR="007F2C54" w:rsidRPr="00916434" w:rsidRDefault="007F2C54" w:rsidP="00F36AAA">
            <w:pPr>
              <w:spacing w:after="0" w:line="216" w:lineRule="auto"/>
              <w:jc w:val="both"/>
              <w:rPr>
                <w:rFonts w:ascii="Times New Roman" w:hAnsi="Times New Roman"/>
                <w:sz w:val="15"/>
                <w:szCs w:val="15"/>
              </w:rPr>
            </w:pPr>
            <w:r w:rsidRPr="00916434">
              <w:rPr>
                <w:rFonts w:ascii="Times New Roman" w:hAnsi="Times New Roman"/>
                <w:sz w:val="15"/>
                <w:szCs w:val="15"/>
              </w:rPr>
              <w:t>.25</w:t>
            </w:r>
          </w:p>
        </w:tc>
        <w:tc>
          <w:tcPr>
            <w:tcW w:w="814" w:type="dxa"/>
            <w:vMerge/>
          </w:tcPr>
          <w:p w14:paraId="7BD66F09" w14:textId="77777777" w:rsidR="007F2C54" w:rsidRPr="00916434" w:rsidRDefault="007F2C54" w:rsidP="00F36AAA">
            <w:pPr>
              <w:widowControl w:val="0"/>
              <w:pBdr>
                <w:top w:val="nil"/>
                <w:left w:val="nil"/>
                <w:bottom w:val="nil"/>
                <w:right w:val="nil"/>
                <w:between w:val="nil"/>
              </w:pBdr>
              <w:spacing w:after="0" w:line="216" w:lineRule="auto"/>
              <w:rPr>
                <w:rFonts w:ascii="Times New Roman" w:hAnsi="Times New Roman"/>
                <w:sz w:val="15"/>
                <w:szCs w:val="15"/>
              </w:rPr>
            </w:pPr>
          </w:p>
        </w:tc>
        <w:tc>
          <w:tcPr>
            <w:tcW w:w="465" w:type="dxa"/>
            <w:vMerge/>
          </w:tcPr>
          <w:p w14:paraId="6C6EB7B5" w14:textId="77777777" w:rsidR="007F2C54" w:rsidRPr="00916434" w:rsidRDefault="007F2C54" w:rsidP="00F36AAA">
            <w:pPr>
              <w:widowControl w:val="0"/>
              <w:pBdr>
                <w:top w:val="nil"/>
                <w:left w:val="nil"/>
                <w:bottom w:val="nil"/>
                <w:right w:val="nil"/>
                <w:between w:val="nil"/>
              </w:pBdr>
              <w:spacing w:after="0" w:line="216" w:lineRule="auto"/>
              <w:rPr>
                <w:rFonts w:ascii="Times New Roman" w:hAnsi="Times New Roman"/>
                <w:sz w:val="15"/>
                <w:szCs w:val="15"/>
              </w:rPr>
            </w:pPr>
          </w:p>
        </w:tc>
      </w:tr>
    </w:tbl>
    <w:p w14:paraId="569B386C" w14:textId="77777777" w:rsidR="007F2C54" w:rsidRDefault="007F2C54" w:rsidP="007F2C54">
      <w:pPr>
        <w:spacing w:after="0" w:line="240" w:lineRule="auto"/>
        <w:rPr>
          <w:rFonts w:ascii="Times New Roman" w:eastAsia="Times New Roman" w:hAnsi="Times New Roman"/>
          <w:color w:val="000000"/>
          <w:sz w:val="16"/>
          <w:szCs w:val="16"/>
        </w:rPr>
      </w:pPr>
      <w:bookmarkStart w:id="2" w:name="_heading=h.1fob9te" w:colFirst="0" w:colLast="0"/>
      <w:bookmarkEnd w:id="2"/>
      <w:r>
        <w:rPr>
          <w:rFonts w:ascii="Times New Roman" w:eastAsia="Times New Roman" w:hAnsi="Times New Roman"/>
          <w:color w:val="000000"/>
          <w:sz w:val="16"/>
          <w:szCs w:val="16"/>
        </w:rPr>
        <w:t>Note: Only the English version is provided due to page limitation</w:t>
      </w:r>
    </w:p>
    <w:p w14:paraId="258797CC" w14:textId="2B5A1422" w:rsidR="007F2C54" w:rsidRDefault="007F2C54" w:rsidP="007F2C54">
      <w:pPr>
        <w:keepNext/>
        <w:pBdr>
          <w:top w:val="nil"/>
          <w:left w:val="nil"/>
          <w:bottom w:val="nil"/>
          <w:right w:val="nil"/>
          <w:between w:val="nil"/>
        </w:pBdr>
        <w:spacing w:after="240"/>
        <w:jc w:val="both"/>
        <w:rPr>
          <w:rFonts w:ascii="Times New Roman" w:eastAsia="Times New Roman" w:hAnsi="Times New Roman"/>
          <w:b/>
          <w:color w:val="000000"/>
        </w:rPr>
      </w:pPr>
      <w:r>
        <w:rPr>
          <w:rFonts w:ascii="Times New Roman" w:eastAsia="Times New Roman" w:hAnsi="Times New Roman"/>
          <w:b/>
          <w:color w:val="000000"/>
        </w:rPr>
        <w:lastRenderedPageBreak/>
        <w:t xml:space="preserve">References </w:t>
      </w:r>
    </w:p>
    <w:p w14:paraId="5DD74274" w14:textId="77777777" w:rsidR="007F2C54" w:rsidRDefault="007F2C54" w:rsidP="000A3A69">
      <w:pPr>
        <w:pBdr>
          <w:top w:val="nil"/>
          <w:left w:val="nil"/>
          <w:bottom w:val="nil"/>
          <w:right w:val="nil"/>
          <w:between w:val="nil"/>
        </w:pBdr>
        <w:spacing w:line="220" w:lineRule="exact"/>
        <w:ind w:left="720" w:hanging="720"/>
        <w:rPr>
          <w:rFonts w:ascii="Times New Roman" w:eastAsia="Times New Roman" w:hAnsi="Times New Roman"/>
          <w:color w:val="000000"/>
        </w:rPr>
      </w:pPr>
      <w:r>
        <w:rPr>
          <w:rFonts w:ascii="Times New Roman" w:eastAsia="Times New Roman" w:hAnsi="Times New Roman"/>
          <w:color w:val="000000"/>
        </w:rPr>
        <w:t xml:space="preserve">Choi, M. (2022). China’s climate goals: Beijing aims to recycle 25 per cent of all textile waste, increase recycled </w:t>
      </w:r>
      <w:proofErr w:type="spellStart"/>
      <w:r>
        <w:rPr>
          <w:rFonts w:ascii="Times New Roman" w:eastAsia="Times New Roman" w:hAnsi="Times New Roman"/>
          <w:color w:val="000000"/>
        </w:rPr>
        <w:t>fibre</w:t>
      </w:r>
      <w:proofErr w:type="spellEnd"/>
      <w:r>
        <w:rPr>
          <w:rFonts w:ascii="Times New Roman" w:eastAsia="Times New Roman" w:hAnsi="Times New Roman"/>
          <w:color w:val="000000"/>
        </w:rPr>
        <w:t xml:space="preserve"> output by 2025.</w:t>
      </w:r>
      <w:r>
        <w:rPr>
          <w:rFonts w:ascii="Times New Roman" w:eastAsia="Times New Roman" w:hAnsi="Times New Roman"/>
          <w:i/>
          <w:color w:val="000000"/>
        </w:rPr>
        <w:t xml:space="preserve"> South China Morning Post</w:t>
      </w:r>
      <w:r>
        <w:rPr>
          <w:rFonts w:ascii="Times New Roman" w:eastAsia="Times New Roman" w:hAnsi="Times New Roman"/>
          <w:color w:val="000000"/>
        </w:rPr>
        <w:t xml:space="preserve">. </w:t>
      </w:r>
      <w:hyperlink r:id="rId9">
        <w:r>
          <w:rPr>
            <w:rFonts w:ascii="Times New Roman" w:eastAsia="Times New Roman" w:hAnsi="Times New Roman"/>
            <w:color w:val="0563C1"/>
            <w:u w:val="single"/>
          </w:rPr>
          <w:t>https://www.scmp.com/business/china-business/article/3174015/chinas-climate-goals-beijing-aims-recycle-25-cent-all</w:t>
        </w:r>
      </w:hyperlink>
    </w:p>
    <w:p w14:paraId="261D31B6" w14:textId="77777777" w:rsidR="007F2C54" w:rsidRDefault="007F2C54" w:rsidP="000A3A69">
      <w:pPr>
        <w:pBdr>
          <w:top w:val="nil"/>
          <w:left w:val="nil"/>
          <w:bottom w:val="nil"/>
          <w:right w:val="nil"/>
          <w:between w:val="nil"/>
        </w:pBdr>
        <w:spacing w:line="220" w:lineRule="exact"/>
        <w:ind w:left="720" w:hanging="720"/>
        <w:rPr>
          <w:rFonts w:ascii="Times New Roman" w:eastAsia="Times New Roman" w:hAnsi="Times New Roman"/>
          <w:color w:val="000000"/>
        </w:rPr>
      </w:pPr>
      <w:r>
        <w:rPr>
          <w:rFonts w:ascii="Times New Roman" w:eastAsia="Times New Roman" w:hAnsi="Times New Roman"/>
          <w:color w:val="000000"/>
        </w:rPr>
        <w:t xml:space="preserve">Holt, D. T., &amp; Vardaman, J. M. (2013). Toward a comprehensive understanding of readiness for change: The case for an expanded conceptualization. </w:t>
      </w:r>
      <w:r>
        <w:rPr>
          <w:rFonts w:ascii="Times New Roman" w:eastAsia="Times New Roman" w:hAnsi="Times New Roman"/>
          <w:i/>
          <w:color w:val="000000"/>
        </w:rPr>
        <w:t>Journal of Change Management, 13</w:t>
      </w:r>
      <w:r>
        <w:rPr>
          <w:rFonts w:ascii="Times New Roman" w:eastAsia="Times New Roman" w:hAnsi="Times New Roman"/>
          <w:color w:val="000000"/>
        </w:rPr>
        <w:t xml:space="preserve">(1), 9-18. </w:t>
      </w:r>
      <w:hyperlink r:id="rId10">
        <w:r>
          <w:rPr>
            <w:rFonts w:ascii="Times New Roman" w:eastAsia="Times New Roman" w:hAnsi="Times New Roman"/>
            <w:color w:val="000000"/>
          </w:rPr>
          <w:t>https://doi.org/10.1080/14697017.2013.768426</w:t>
        </w:r>
      </w:hyperlink>
      <w:r>
        <w:rPr>
          <w:rFonts w:ascii="Times New Roman" w:eastAsia="Times New Roman" w:hAnsi="Times New Roman"/>
          <w:color w:val="000000"/>
        </w:rPr>
        <w:t> </w:t>
      </w:r>
    </w:p>
    <w:p w14:paraId="4908D73A" w14:textId="77777777" w:rsidR="007F2C54" w:rsidRDefault="007F2C54" w:rsidP="000A3A69">
      <w:pPr>
        <w:pBdr>
          <w:top w:val="nil"/>
          <w:left w:val="nil"/>
          <w:bottom w:val="nil"/>
          <w:right w:val="nil"/>
          <w:between w:val="nil"/>
        </w:pBdr>
        <w:spacing w:line="220" w:lineRule="exact"/>
        <w:ind w:left="720" w:hanging="720"/>
        <w:rPr>
          <w:rFonts w:ascii="Times New Roman" w:eastAsia="Times New Roman" w:hAnsi="Times New Roman"/>
          <w:color w:val="000000"/>
        </w:rPr>
      </w:pPr>
      <w:proofErr w:type="spellStart"/>
      <w:r>
        <w:rPr>
          <w:rFonts w:ascii="Times New Roman" w:eastAsia="Times New Roman" w:hAnsi="Times New Roman"/>
          <w:color w:val="000000"/>
        </w:rPr>
        <w:t>Ki,</w:t>
      </w:r>
      <w:proofErr w:type="spellEnd"/>
      <w:r>
        <w:rPr>
          <w:rFonts w:ascii="Times New Roman" w:eastAsia="Times New Roman" w:hAnsi="Times New Roman"/>
          <w:color w:val="000000"/>
        </w:rPr>
        <w:t xml:space="preserve"> C.-W. C., Wang, B., Chong, S. M., &amp; Ha-Brookshire, J. E. (2022). Is the Fashion Industry Ready for a Change Toward a Circular Economy (FashionReady4CE)? Development of IRT-Based FashionReady4CE Scales. International Textile and Apparel Association Annual Conference Proceedings.</w:t>
      </w:r>
    </w:p>
    <w:p w14:paraId="7335AA2D" w14:textId="77777777" w:rsidR="007F2C54" w:rsidRDefault="007F2C54" w:rsidP="000A3A69">
      <w:pPr>
        <w:pBdr>
          <w:top w:val="nil"/>
          <w:left w:val="nil"/>
          <w:bottom w:val="nil"/>
          <w:right w:val="nil"/>
          <w:between w:val="nil"/>
        </w:pBdr>
        <w:spacing w:line="220" w:lineRule="exact"/>
        <w:ind w:left="720" w:hanging="720"/>
        <w:rPr>
          <w:rFonts w:ascii="Times New Roman" w:eastAsia="Times New Roman" w:hAnsi="Times New Roman"/>
          <w:color w:val="000000"/>
        </w:rPr>
      </w:pPr>
      <w:proofErr w:type="spellStart"/>
      <w:r>
        <w:rPr>
          <w:rFonts w:ascii="Times New Roman" w:eastAsia="Times New Roman" w:hAnsi="Times New Roman"/>
          <w:color w:val="000000"/>
        </w:rPr>
        <w:t>Ki,</w:t>
      </w:r>
      <w:proofErr w:type="spellEnd"/>
      <w:r>
        <w:rPr>
          <w:rFonts w:ascii="Times New Roman" w:eastAsia="Times New Roman" w:hAnsi="Times New Roman"/>
          <w:color w:val="000000"/>
        </w:rPr>
        <w:t xml:space="preserve"> C. W., Chong, S. M., &amp; Ha‐Brookshire, J. E. (2020). How fashion can achieve sustainable development through a circular economy and stakeholder engagement: A systematic literature review. </w:t>
      </w:r>
      <w:r>
        <w:rPr>
          <w:rFonts w:ascii="Times New Roman" w:eastAsia="Times New Roman" w:hAnsi="Times New Roman"/>
          <w:i/>
          <w:color w:val="000000"/>
        </w:rPr>
        <w:t>Corporate Social Responsibility and Environmental Management</w:t>
      </w:r>
      <w:r>
        <w:rPr>
          <w:rFonts w:ascii="Times New Roman" w:eastAsia="Times New Roman" w:hAnsi="Times New Roman"/>
          <w:color w:val="000000"/>
        </w:rPr>
        <w:t>,</w:t>
      </w:r>
      <w:r>
        <w:rPr>
          <w:rFonts w:ascii="Times New Roman" w:eastAsia="Times New Roman" w:hAnsi="Times New Roman"/>
          <w:i/>
          <w:color w:val="000000"/>
        </w:rPr>
        <w:t xml:space="preserve"> 27</w:t>
      </w:r>
      <w:r>
        <w:rPr>
          <w:rFonts w:ascii="Times New Roman" w:eastAsia="Times New Roman" w:hAnsi="Times New Roman"/>
          <w:color w:val="000000"/>
        </w:rPr>
        <w:t xml:space="preserve">(6), 2401-2424. </w:t>
      </w:r>
    </w:p>
    <w:p w14:paraId="6CCE85F1" w14:textId="77777777" w:rsidR="007F2C54" w:rsidRDefault="007F2C54" w:rsidP="000A3A69">
      <w:pPr>
        <w:pBdr>
          <w:top w:val="nil"/>
          <w:left w:val="nil"/>
          <w:bottom w:val="nil"/>
          <w:right w:val="nil"/>
          <w:between w:val="nil"/>
        </w:pBdr>
        <w:spacing w:line="220" w:lineRule="exact"/>
        <w:ind w:left="720" w:hanging="720"/>
        <w:rPr>
          <w:rFonts w:ascii="Times New Roman" w:eastAsia="Times New Roman" w:hAnsi="Times New Roman"/>
          <w:color w:val="000000"/>
        </w:rPr>
      </w:pPr>
      <w:proofErr w:type="spellStart"/>
      <w:r>
        <w:rPr>
          <w:rFonts w:ascii="Times New Roman" w:eastAsia="Times New Roman" w:hAnsi="Times New Roman"/>
          <w:color w:val="000000"/>
        </w:rPr>
        <w:t>Legl</w:t>
      </w:r>
      <w:proofErr w:type="spellEnd"/>
      <w:r>
        <w:rPr>
          <w:rFonts w:ascii="Times New Roman" w:eastAsia="Times New Roman" w:hAnsi="Times New Roman"/>
          <w:color w:val="000000"/>
        </w:rPr>
        <w:t xml:space="preserve">, C. (2022, 2022, June 29). Why The Circular Economy Is </w:t>
      </w:r>
      <w:proofErr w:type="gramStart"/>
      <w:r>
        <w:rPr>
          <w:rFonts w:ascii="Times New Roman" w:eastAsia="Times New Roman" w:hAnsi="Times New Roman"/>
          <w:color w:val="000000"/>
        </w:rPr>
        <w:t>The</w:t>
      </w:r>
      <w:proofErr w:type="gramEnd"/>
      <w:r>
        <w:rPr>
          <w:rFonts w:ascii="Times New Roman" w:eastAsia="Times New Roman" w:hAnsi="Times New Roman"/>
          <w:color w:val="000000"/>
        </w:rPr>
        <w:t xml:space="preserve"> Perfect Fit For The Fashion Industry.</w:t>
      </w:r>
      <w:r>
        <w:rPr>
          <w:rFonts w:ascii="Times New Roman" w:eastAsia="Times New Roman" w:hAnsi="Times New Roman"/>
          <w:i/>
          <w:color w:val="000000"/>
        </w:rPr>
        <w:t xml:space="preserve"> Forbes</w:t>
      </w:r>
      <w:r>
        <w:rPr>
          <w:rFonts w:ascii="Times New Roman" w:eastAsia="Times New Roman" w:hAnsi="Times New Roman"/>
          <w:color w:val="000000"/>
        </w:rPr>
        <w:t xml:space="preserve">. </w:t>
      </w:r>
      <w:hyperlink r:id="rId11">
        <w:r>
          <w:rPr>
            <w:rFonts w:ascii="Times New Roman" w:eastAsia="Times New Roman" w:hAnsi="Times New Roman"/>
            <w:color w:val="0563C1"/>
            <w:u w:val="single"/>
          </w:rPr>
          <w:t>https://www.forbes.com/sites/sap/2022/06/29/why-the-circular-economy-is-the-perfect-fit-for-the-fashion-industry/</w:t>
        </w:r>
      </w:hyperlink>
    </w:p>
    <w:p w14:paraId="49F569A8" w14:textId="77777777" w:rsidR="007F2C54" w:rsidRDefault="007F2C54" w:rsidP="000A3A69">
      <w:pPr>
        <w:pBdr>
          <w:top w:val="nil"/>
          <w:left w:val="nil"/>
          <w:bottom w:val="nil"/>
          <w:right w:val="nil"/>
          <w:between w:val="nil"/>
        </w:pBdr>
        <w:spacing w:line="220" w:lineRule="exact"/>
        <w:ind w:left="720" w:hanging="720"/>
        <w:rPr>
          <w:rFonts w:ascii="Times New Roman" w:eastAsia="Times New Roman" w:hAnsi="Times New Roman"/>
          <w:color w:val="000000"/>
        </w:rPr>
      </w:pPr>
      <w:r>
        <w:rPr>
          <w:rFonts w:ascii="Times New Roman" w:eastAsia="Times New Roman" w:hAnsi="Times New Roman"/>
          <w:color w:val="000000"/>
        </w:rPr>
        <w:t xml:space="preserve">McDonough, W., &amp; </w:t>
      </w:r>
      <w:proofErr w:type="spellStart"/>
      <w:r>
        <w:rPr>
          <w:rFonts w:ascii="Times New Roman" w:eastAsia="Times New Roman" w:hAnsi="Times New Roman"/>
          <w:color w:val="000000"/>
        </w:rPr>
        <w:t>Braungart</w:t>
      </w:r>
      <w:proofErr w:type="spellEnd"/>
      <w:r>
        <w:rPr>
          <w:rFonts w:ascii="Times New Roman" w:eastAsia="Times New Roman" w:hAnsi="Times New Roman"/>
          <w:color w:val="000000"/>
        </w:rPr>
        <w:t xml:space="preserve">, M. (2002). </w:t>
      </w:r>
      <w:r>
        <w:rPr>
          <w:rFonts w:ascii="Times New Roman" w:eastAsia="Times New Roman" w:hAnsi="Times New Roman"/>
          <w:i/>
          <w:color w:val="000000"/>
        </w:rPr>
        <w:t>Cradle to Cradle: Remaking the Way We Make Things</w:t>
      </w:r>
      <w:r>
        <w:rPr>
          <w:rFonts w:ascii="Times New Roman" w:eastAsia="Times New Roman" w:hAnsi="Times New Roman"/>
          <w:color w:val="000000"/>
        </w:rPr>
        <w:t xml:space="preserve">. North Point Press. </w:t>
      </w:r>
    </w:p>
    <w:p w14:paraId="66E33CA7" w14:textId="77777777" w:rsidR="007F2C54" w:rsidRDefault="007F2C54" w:rsidP="000A3A69">
      <w:pPr>
        <w:pBdr>
          <w:top w:val="nil"/>
          <w:left w:val="nil"/>
          <w:bottom w:val="nil"/>
          <w:right w:val="nil"/>
          <w:between w:val="nil"/>
        </w:pBdr>
        <w:spacing w:line="220" w:lineRule="exact"/>
        <w:ind w:left="720" w:hanging="720"/>
        <w:rPr>
          <w:rFonts w:ascii="Times New Roman" w:eastAsia="Times New Roman" w:hAnsi="Times New Roman"/>
          <w:color w:val="000000"/>
        </w:rPr>
      </w:pPr>
      <w:proofErr w:type="spellStart"/>
      <w:r>
        <w:rPr>
          <w:rFonts w:ascii="Times New Roman" w:eastAsia="Times New Roman" w:hAnsi="Times New Roman"/>
          <w:color w:val="000000"/>
        </w:rPr>
        <w:t>Revicki</w:t>
      </w:r>
      <w:proofErr w:type="spellEnd"/>
      <w:r>
        <w:rPr>
          <w:rFonts w:ascii="Times New Roman" w:eastAsia="Times New Roman" w:hAnsi="Times New Roman"/>
          <w:color w:val="000000"/>
        </w:rPr>
        <w:t xml:space="preserve">, D. A., Chen, W.-H., &amp; Tucker, C. (2014). Developing item banks for patient-reported health outcomes. In S. P. Reise &amp; D. A. </w:t>
      </w:r>
      <w:proofErr w:type="spellStart"/>
      <w:r>
        <w:rPr>
          <w:rFonts w:ascii="Times New Roman" w:eastAsia="Times New Roman" w:hAnsi="Times New Roman"/>
          <w:color w:val="000000"/>
        </w:rPr>
        <w:t>Revicki</w:t>
      </w:r>
      <w:proofErr w:type="spellEnd"/>
      <w:r>
        <w:rPr>
          <w:rFonts w:ascii="Times New Roman" w:eastAsia="Times New Roman" w:hAnsi="Times New Roman"/>
          <w:color w:val="000000"/>
        </w:rPr>
        <w:t xml:space="preserve"> (Eds.), </w:t>
      </w:r>
      <w:r>
        <w:rPr>
          <w:rFonts w:ascii="Times New Roman" w:eastAsia="Times New Roman" w:hAnsi="Times New Roman"/>
          <w:i/>
          <w:color w:val="000000"/>
        </w:rPr>
        <w:t>Handbook of Item Response Theory Modeling: Applications to Typical Performance Assessment</w:t>
      </w:r>
      <w:r>
        <w:rPr>
          <w:rFonts w:ascii="Times New Roman" w:eastAsia="Times New Roman" w:hAnsi="Times New Roman"/>
          <w:color w:val="000000"/>
        </w:rPr>
        <w:t xml:space="preserve"> (pp. 352-381). Routledge. </w:t>
      </w:r>
    </w:p>
    <w:p w14:paraId="369ABEB7" w14:textId="77777777" w:rsidR="007F2C54" w:rsidRDefault="007F2C54" w:rsidP="000A3A69">
      <w:pPr>
        <w:pBdr>
          <w:top w:val="nil"/>
          <w:left w:val="nil"/>
          <w:bottom w:val="nil"/>
          <w:right w:val="nil"/>
          <w:between w:val="nil"/>
        </w:pBdr>
        <w:spacing w:line="220" w:lineRule="exact"/>
        <w:ind w:left="720" w:hanging="720"/>
        <w:rPr>
          <w:rFonts w:ascii="Times New Roman" w:eastAsia="Times New Roman" w:hAnsi="Times New Roman"/>
          <w:color w:val="000000"/>
        </w:rPr>
      </w:pPr>
      <w:r>
        <w:rPr>
          <w:rFonts w:ascii="Times New Roman" w:eastAsia="Times New Roman" w:hAnsi="Times New Roman"/>
          <w:color w:val="000000"/>
        </w:rPr>
        <w:t xml:space="preserve">To, E., &amp; Kan, K. (2020). China’s Next Problem Is Recycling 26 </w:t>
      </w:r>
      <w:proofErr w:type="gramStart"/>
      <w:r>
        <w:rPr>
          <w:rFonts w:ascii="Times New Roman" w:eastAsia="Times New Roman" w:hAnsi="Times New Roman"/>
          <w:color w:val="000000"/>
        </w:rPr>
        <w:t>Million</w:t>
      </w:r>
      <w:proofErr w:type="gramEnd"/>
      <w:r>
        <w:rPr>
          <w:rFonts w:ascii="Times New Roman" w:eastAsia="Times New Roman" w:hAnsi="Times New Roman"/>
          <w:color w:val="000000"/>
        </w:rPr>
        <w:t xml:space="preserve"> Tons of Discarded Clothes. </w:t>
      </w:r>
      <w:r>
        <w:rPr>
          <w:rFonts w:ascii="Times New Roman" w:eastAsia="Times New Roman" w:hAnsi="Times New Roman"/>
          <w:i/>
          <w:color w:val="000000"/>
        </w:rPr>
        <w:t>Bloomberg</w:t>
      </w:r>
      <w:r>
        <w:rPr>
          <w:rFonts w:ascii="Times New Roman" w:eastAsia="Times New Roman" w:hAnsi="Times New Roman"/>
          <w:color w:val="000000"/>
        </w:rPr>
        <w:t xml:space="preserve">. </w:t>
      </w:r>
      <w:hyperlink r:id="rId12">
        <w:r>
          <w:rPr>
            <w:rFonts w:ascii="Times New Roman" w:eastAsia="Times New Roman" w:hAnsi="Times New Roman"/>
            <w:color w:val="0563C1"/>
            <w:u w:val="single"/>
          </w:rPr>
          <w:t>https://www.bloomberg.com/news/features/2020-10-18/china-s-big-fashion-problem-is-recycling-26-million-tons-of-used-clothes</w:t>
        </w:r>
      </w:hyperlink>
      <w:r>
        <w:rPr>
          <w:rFonts w:ascii="Times New Roman" w:eastAsia="Times New Roman" w:hAnsi="Times New Roman"/>
          <w:color w:val="000000"/>
        </w:rPr>
        <w:t xml:space="preserve"> </w:t>
      </w:r>
    </w:p>
    <w:p w14:paraId="69934978" w14:textId="77777777" w:rsidR="007F2C54" w:rsidRDefault="007F2C54" w:rsidP="000A3A69">
      <w:pPr>
        <w:pBdr>
          <w:top w:val="nil"/>
          <w:left w:val="nil"/>
          <w:bottom w:val="nil"/>
          <w:right w:val="nil"/>
          <w:between w:val="nil"/>
        </w:pBdr>
        <w:spacing w:line="220" w:lineRule="exact"/>
        <w:ind w:left="720" w:hanging="720"/>
        <w:rPr>
          <w:rFonts w:ascii="Times New Roman" w:eastAsia="Times New Roman" w:hAnsi="Times New Roman"/>
          <w:color w:val="000000"/>
        </w:rPr>
      </w:pPr>
      <w:r>
        <w:rPr>
          <w:rFonts w:ascii="Times New Roman" w:eastAsia="Times New Roman" w:hAnsi="Times New Roman"/>
          <w:color w:val="000000"/>
        </w:rPr>
        <w:t xml:space="preserve">United Nations </w:t>
      </w:r>
      <w:proofErr w:type="spellStart"/>
      <w:r>
        <w:rPr>
          <w:rFonts w:ascii="Times New Roman" w:eastAsia="Times New Roman" w:hAnsi="Times New Roman"/>
          <w:color w:val="000000"/>
        </w:rPr>
        <w:t>Comtrade</w:t>
      </w:r>
      <w:proofErr w:type="spellEnd"/>
      <w:r>
        <w:rPr>
          <w:rFonts w:ascii="Times New Roman" w:eastAsia="Times New Roman" w:hAnsi="Times New Roman"/>
          <w:color w:val="000000"/>
        </w:rPr>
        <w:t>. (2022). Leading importing countries of textile apparel goods worldwide in 2021 (in million U.S. dollars). In Statista.</w:t>
      </w:r>
    </w:p>
    <w:p w14:paraId="52767C60" w14:textId="77777777" w:rsidR="007F2C54" w:rsidRDefault="007F2C54" w:rsidP="000A3A69">
      <w:pPr>
        <w:pBdr>
          <w:top w:val="nil"/>
          <w:left w:val="nil"/>
          <w:bottom w:val="nil"/>
          <w:right w:val="nil"/>
          <w:between w:val="nil"/>
        </w:pBdr>
        <w:spacing w:line="220" w:lineRule="exact"/>
        <w:ind w:left="720" w:hanging="720"/>
        <w:rPr>
          <w:rFonts w:ascii="Times New Roman" w:eastAsia="Times New Roman" w:hAnsi="Times New Roman"/>
          <w:color w:val="000000"/>
        </w:rPr>
      </w:pPr>
      <w:r>
        <w:rPr>
          <w:rFonts w:ascii="Times New Roman" w:eastAsia="Times New Roman" w:hAnsi="Times New Roman"/>
          <w:color w:val="000000"/>
        </w:rPr>
        <w:t xml:space="preserve">Wang, B., Ha-Brookshire, J. E., &amp; Bonifay, W. (2022). Measuring perceived benefits and costs of new technology adoption in the Chinese textile and apparel industry. </w:t>
      </w:r>
      <w:r>
        <w:rPr>
          <w:rFonts w:ascii="Times New Roman" w:eastAsia="Times New Roman" w:hAnsi="Times New Roman"/>
          <w:i/>
          <w:color w:val="000000"/>
        </w:rPr>
        <w:t>Clothing and Textiles Research Journal</w:t>
      </w:r>
      <w:r>
        <w:rPr>
          <w:rFonts w:ascii="Times New Roman" w:eastAsia="Times New Roman" w:hAnsi="Times New Roman"/>
          <w:color w:val="000000"/>
        </w:rPr>
        <w:t>,</w:t>
      </w:r>
      <w:r>
        <w:rPr>
          <w:rFonts w:ascii="Times New Roman" w:eastAsia="Times New Roman" w:hAnsi="Times New Roman"/>
          <w:i/>
          <w:color w:val="000000"/>
        </w:rPr>
        <w:t xml:space="preserve"> 40</w:t>
      </w:r>
      <w:r>
        <w:rPr>
          <w:rFonts w:ascii="Times New Roman" w:eastAsia="Times New Roman" w:hAnsi="Times New Roman"/>
          <w:color w:val="000000"/>
        </w:rPr>
        <w:t xml:space="preserve">(3), 187-202. </w:t>
      </w:r>
      <w:hyperlink r:id="rId13">
        <w:r>
          <w:rPr>
            <w:rFonts w:ascii="Times New Roman" w:eastAsia="Times New Roman" w:hAnsi="Times New Roman"/>
            <w:color w:val="0563C1"/>
            <w:u w:val="single"/>
          </w:rPr>
          <w:t>https://doi.org/10.1177/0887302X20969889</w:t>
        </w:r>
      </w:hyperlink>
      <w:r>
        <w:rPr>
          <w:rFonts w:ascii="Times New Roman" w:eastAsia="Times New Roman" w:hAnsi="Times New Roman"/>
          <w:color w:val="000000"/>
        </w:rPr>
        <w:t xml:space="preserve"> </w:t>
      </w:r>
    </w:p>
    <w:p w14:paraId="268E4B6A" w14:textId="77777777" w:rsidR="007F2C54" w:rsidRDefault="007F2C54" w:rsidP="000A3A69">
      <w:pPr>
        <w:pBdr>
          <w:top w:val="nil"/>
          <w:left w:val="nil"/>
          <w:bottom w:val="nil"/>
          <w:right w:val="nil"/>
          <w:between w:val="nil"/>
        </w:pBdr>
        <w:spacing w:line="220" w:lineRule="exact"/>
        <w:ind w:left="720" w:hanging="720"/>
        <w:rPr>
          <w:rFonts w:ascii="Times New Roman" w:eastAsia="Times New Roman" w:hAnsi="Times New Roman"/>
          <w:color w:val="000000"/>
        </w:rPr>
      </w:pPr>
      <w:r>
        <w:rPr>
          <w:rFonts w:ascii="Times New Roman" w:eastAsia="Times New Roman" w:hAnsi="Times New Roman"/>
          <w:color w:val="000000"/>
        </w:rPr>
        <w:t xml:space="preserve">Weiner, B. J. (2009). A theory of organizational readiness for change. </w:t>
      </w:r>
      <w:r>
        <w:rPr>
          <w:rFonts w:ascii="Times New Roman" w:eastAsia="Times New Roman" w:hAnsi="Times New Roman"/>
          <w:i/>
          <w:color w:val="000000"/>
        </w:rPr>
        <w:t>Implementation Science</w:t>
      </w:r>
      <w:r>
        <w:rPr>
          <w:rFonts w:ascii="Times New Roman" w:eastAsia="Times New Roman" w:hAnsi="Times New Roman"/>
          <w:color w:val="000000"/>
        </w:rPr>
        <w:t>,</w:t>
      </w:r>
      <w:r>
        <w:rPr>
          <w:rFonts w:ascii="Times New Roman" w:eastAsia="Times New Roman" w:hAnsi="Times New Roman"/>
          <w:i/>
          <w:color w:val="000000"/>
        </w:rPr>
        <w:t xml:space="preserve"> 4</w:t>
      </w:r>
      <w:r>
        <w:rPr>
          <w:rFonts w:ascii="Times New Roman" w:eastAsia="Times New Roman" w:hAnsi="Times New Roman"/>
          <w:color w:val="000000"/>
        </w:rPr>
        <w:t xml:space="preserve">(1), 1-9, Article 67. </w:t>
      </w:r>
      <w:hyperlink r:id="rId14">
        <w:r>
          <w:rPr>
            <w:rFonts w:ascii="Times New Roman" w:eastAsia="Times New Roman" w:hAnsi="Times New Roman"/>
            <w:color w:val="0563C1"/>
            <w:u w:val="single"/>
          </w:rPr>
          <w:t>https://doi.org/10.1186/1748-5908-4-67</w:t>
        </w:r>
      </w:hyperlink>
      <w:r>
        <w:rPr>
          <w:rFonts w:ascii="Times New Roman" w:eastAsia="Times New Roman" w:hAnsi="Times New Roman"/>
          <w:color w:val="000000"/>
        </w:rPr>
        <w:t xml:space="preserve"> </w:t>
      </w:r>
    </w:p>
    <w:p w14:paraId="4E16BAC6" w14:textId="03F62C0A" w:rsidR="000E3A1B" w:rsidRDefault="007F2C54" w:rsidP="000A3A69">
      <w:pPr>
        <w:spacing w:after="0" w:line="220" w:lineRule="exact"/>
        <w:rPr>
          <w:rFonts w:ascii="Times New Roman" w:hAnsi="Times New Roman"/>
          <w:sz w:val="24"/>
          <w:szCs w:val="24"/>
        </w:rPr>
      </w:pPr>
      <w:r>
        <w:rPr>
          <w:rFonts w:ascii="Times New Roman" w:eastAsia="Times New Roman" w:hAnsi="Times New Roman"/>
          <w:color w:val="000000"/>
        </w:rPr>
        <w:t>WTO. (2022). Top textile exporting countries worldwide 2021 (in billion U.S. dollars). In Statista</w:t>
      </w:r>
      <w:r>
        <w:rPr>
          <w:rFonts w:ascii="Times New Roman" w:hAnsi="Times New Roman"/>
          <w:sz w:val="24"/>
          <w:szCs w:val="24"/>
        </w:rPr>
        <w:t>.</w:t>
      </w:r>
    </w:p>
    <w:p w14:paraId="247C69A6" w14:textId="77777777" w:rsidR="000E3A1B" w:rsidRDefault="000E3A1B" w:rsidP="00302B3E">
      <w:pPr>
        <w:spacing w:after="0" w:line="240" w:lineRule="auto"/>
        <w:rPr>
          <w:rFonts w:ascii="Times New Roman" w:hAnsi="Times New Roman"/>
          <w:sz w:val="24"/>
          <w:szCs w:val="24"/>
        </w:rPr>
      </w:pPr>
    </w:p>
    <w:sectPr w:rsidR="000E3A1B" w:rsidSect="007F2C54">
      <w:headerReference w:type="even" r:id="rId15"/>
      <w:headerReference w:type="default" r:id="rId16"/>
      <w:footerReference w:type="even" r:id="rId17"/>
      <w:footerReference w:type="default" r:id="rId18"/>
      <w:headerReference w:type="first" r:id="rId19"/>
      <w:footerReference w:type="first" r:id="rId20"/>
      <w:pgSz w:w="12240" w:h="15840"/>
      <w:pgMar w:top="216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674FC" w14:textId="77777777" w:rsidR="004B04AB" w:rsidRDefault="004B04AB" w:rsidP="00AF5871">
      <w:pPr>
        <w:spacing w:after="0" w:line="240" w:lineRule="auto"/>
      </w:pPr>
      <w:r>
        <w:separator/>
      </w:r>
    </w:p>
  </w:endnote>
  <w:endnote w:type="continuationSeparator" w:id="0">
    <w:p w14:paraId="4F372D5C" w14:textId="77777777" w:rsidR="004B04AB" w:rsidRDefault="004B04AB"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8990" w14:textId="77777777" w:rsidR="007F2C54" w:rsidRPr="007F2C54" w:rsidRDefault="007F2C54" w:rsidP="007F2C54">
    <w:pPr>
      <w:pStyle w:val="Footer"/>
      <w:jc w:val="right"/>
      <w:rPr>
        <w:rFonts w:asciiTheme="minorHAnsi" w:hAnsiTheme="minorHAnsi" w:cstheme="minorHAnsi"/>
        <w:b/>
        <w:sz w:val="20"/>
        <w:szCs w:val="20"/>
      </w:rPr>
    </w:pPr>
    <w:r w:rsidRPr="007F2C54">
      <w:rPr>
        <w:rFonts w:asciiTheme="minorHAnsi" w:hAnsiTheme="minorHAnsi" w:cstheme="minorHAnsi"/>
        <w:sz w:val="20"/>
        <w:szCs w:val="20"/>
      </w:rPr>
      <w:t xml:space="preserve">Page </w:t>
    </w:r>
    <w:r w:rsidRPr="007F2C54">
      <w:rPr>
        <w:rFonts w:asciiTheme="minorHAnsi" w:hAnsiTheme="minorHAnsi" w:cstheme="minorHAnsi"/>
        <w:b/>
        <w:sz w:val="20"/>
        <w:szCs w:val="20"/>
      </w:rPr>
      <w:fldChar w:fldCharType="begin"/>
    </w:r>
    <w:r w:rsidRPr="007F2C54">
      <w:rPr>
        <w:rFonts w:asciiTheme="minorHAnsi" w:hAnsiTheme="minorHAnsi" w:cstheme="minorHAnsi"/>
        <w:b/>
        <w:sz w:val="20"/>
        <w:szCs w:val="20"/>
      </w:rPr>
      <w:instrText xml:space="preserve"> PAGE </w:instrText>
    </w:r>
    <w:r w:rsidRPr="007F2C54">
      <w:rPr>
        <w:rFonts w:asciiTheme="minorHAnsi" w:hAnsiTheme="minorHAnsi" w:cstheme="minorHAnsi"/>
        <w:b/>
        <w:sz w:val="20"/>
        <w:szCs w:val="20"/>
      </w:rPr>
      <w:fldChar w:fldCharType="separate"/>
    </w:r>
    <w:r>
      <w:rPr>
        <w:rFonts w:asciiTheme="minorHAnsi" w:hAnsiTheme="minorHAnsi" w:cstheme="minorHAnsi"/>
        <w:b/>
        <w:sz w:val="20"/>
        <w:szCs w:val="20"/>
      </w:rPr>
      <w:t>3</w:t>
    </w:r>
    <w:r w:rsidRPr="007F2C54">
      <w:rPr>
        <w:rFonts w:asciiTheme="minorHAnsi" w:hAnsiTheme="minorHAnsi" w:cstheme="minorHAnsi"/>
        <w:b/>
        <w:sz w:val="20"/>
        <w:szCs w:val="20"/>
      </w:rPr>
      <w:fldChar w:fldCharType="end"/>
    </w:r>
    <w:r w:rsidRPr="007F2C54">
      <w:rPr>
        <w:rFonts w:asciiTheme="minorHAnsi" w:hAnsiTheme="minorHAnsi" w:cstheme="minorHAnsi"/>
        <w:sz w:val="20"/>
        <w:szCs w:val="20"/>
      </w:rPr>
      <w:t xml:space="preserve"> of </w:t>
    </w:r>
    <w:r w:rsidRPr="007F2C54">
      <w:rPr>
        <w:rFonts w:asciiTheme="minorHAnsi" w:hAnsiTheme="minorHAnsi" w:cstheme="minorHAnsi"/>
        <w:b/>
        <w:sz w:val="20"/>
        <w:szCs w:val="20"/>
      </w:rPr>
      <w:fldChar w:fldCharType="begin"/>
    </w:r>
    <w:r w:rsidRPr="007F2C54">
      <w:rPr>
        <w:rFonts w:asciiTheme="minorHAnsi" w:hAnsiTheme="minorHAnsi" w:cstheme="minorHAnsi"/>
        <w:b/>
        <w:sz w:val="20"/>
        <w:szCs w:val="20"/>
      </w:rPr>
      <w:instrText xml:space="preserve"> NUMPAGES  </w:instrText>
    </w:r>
    <w:r w:rsidRPr="007F2C54">
      <w:rPr>
        <w:rFonts w:asciiTheme="minorHAnsi" w:hAnsiTheme="minorHAnsi" w:cstheme="minorHAnsi"/>
        <w:b/>
        <w:sz w:val="20"/>
        <w:szCs w:val="20"/>
      </w:rPr>
      <w:fldChar w:fldCharType="separate"/>
    </w:r>
    <w:r>
      <w:rPr>
        <w:rFonts w:asciiTheme="minorHAnsi" w:hAnsiTheme="minorHAnsi" w:cstheme="minorHAnsi"/>
        <w:b/>
        <w:sz w:val="20"/>
        <w:szCs w:val="20"/>
      </w:rPr>
      <w:t>8</w:t>
    </w:r>
    <w:r w:rsidRPr="007F2C54">
      <w:rPr>
        <w:rFonts w:asciiTheme="minorHAnsi" w:hAnsiTheme="minorHAnsi" w:cstheme="minorHAnsi"/>
        <w:b/>
        <w:sz w:val="20"/>
        <w:szCs w:val="20"/>
      </w:rPr>
      <w:fldChar w:fldCharType="end"/>
    </w:r>
  </w:p>
  <w:p w14:paraId="4F342C2F" w14:textId="77777777" w:rsidR="007F2C54" w:rsidRPr="007F2C54" w:rsidRDefault="007F2C54" w:rsidP="007F2C54">
    <w:pPr>
      <w:pStyle w:val="Footer"/>
      <w:tabs>
        <w:tab w:val="clear" w:pos="4680"/>
        <w:tab w:val="clear" w:pos="9360"/>
        <w:tab w:val="left" w:pos="5835"/>
      </w:tabs>
      <w:jc w:val="center"/>
      <w:rPr>
        <w:rFonts w:asciiTheme="minorHAnsi" w:hAnsiTheme="minorHAnsi" w:cstheme="minorHAnsi"/>
        <w:b/>
        <w:i/>
        <w:sz w:val="20"/>
        <w:szCs w:val="20"/>
      </w:rPr>
    </w:pPr>
  </w:p>
  <w:p w14:paraId="1F8FDCDF" w14:textId="77777777" w:rsidR="007F2C54" w:rsidRPr="007F2C54" w:rsidRDefault="007F2C54" w:rsidP="007F2C54">
    <w:pPr>
      <w:pStyle w:val="Footer"/>
      <w:tabs>
        <w:tab w:val="clear" w:pos="4680"/>
        <w:tab w:val="clear" w:pos="9360"/>
        <w:tab w:val="left" w:pos="5835"/>
      </w:tabs>
      <w:jc w:val="center"/>
      <w:rPr>
        <w:rFonts w:asciiTheme="minorHAnsi" w:hAnsiTheme="minorHAnsi" w:cstheme="minorHAnsi"/>
        <w:i/>
        <w:sz w:val="19"/>
        <w:szCs w:val="19"/>
      </w:rPr>
    </w:pPr>
    <w:r w:rsidRPr="007F2C54">
      <w:rPr>
        <w:rFonts w:asciiTheme="minorHAnsi" w:hAnsiTheme="minorHAnsi" w:cstheme="minorHAnsi"/>
        <w:i/>
        <w:sz w:val="19"/>
        <w:szCs w:val="19"/>
      </w:rPr>
      <w:t xml:space="preserve">© 2023 The author(s). Published under a Creative Commons Attribution License </w:t>
    </w:r>
    <w:r w:rsidRPr="007F2C54">
      <w:rPr>
        <w:rFonts w:asciiTheme="minorHAnsi" w:hAnsiTheme="minorHAnsi" w:cstheme="minorHAnsi"/>
        <w:sz w:val="19"/>
        <w:szCs w:val="19"/>
      </w:rPr>
      <w:t>(</w:t>
    </w:r>
    <w:hyperlink r:id="rId1" w:history="1">
      <w:r w:rsidRPr="007F2C54">
        <w:rPr>
          <w:rStyle w:val="Hyperlink"/>
          <w:rFonts w:asciiTheme="minorHAnsi" w:hAnsiTheme="minorHAnsi" w:cstheme="minorHAnsi"/>
          <w:sz w:val="19"/>
          <w:szCs w:val="19"/>
        </w:rPr>
        <w:t>https://creativecommons.org/licenses/by/4.0/</w:t>
      </w:r>
    </w:hyperlink>
    <w:r w:rsidRPr="007F2C54">
      <w:rPr>
        <w:rFonts w:asciiTheme="minorHAnsi" w:hAnsiTheme="minorHAnsi" w:cstheme="minorHAnsi"/>
        <w:sz w:val="19"/>
        <w:szCs w:val="19"/>
      </w:rPr>
      <w:t>)</w:t>
    </w:r>
    <w:r w:rsidRPr="007F2C54">
      <w:rPr>
        <w:rFonts w:asciiTheme="minorHAnsi" w:hAnsiTheme="minorHAnsi" w:cstheme="minorHAnsi"/>
        <w:i/>
        <w:sz w:val="19"/>
        <w:szCs w:val="19"/>
      </w:rPr>
      <w:t>, which permits unrestricted use, distribution, and reproduction in any medium, provided the original work is properly cited.</w:t>
    </w:r>
  </w:p>
  <w:p w14:paraId="6D1909A9" w14:textId="77777777" w:rsidR="007F2C54" w:rsidRPr="007F2C54" w:rsidRDefault="007F2C54" w:rsidP="007F2C54">
    <w:pPr>
      <w:pStyle w:val="Footer"/>
      <w:tabs>
        <w:tab w:val="clear" w:pos="4680"/>
        <w:tab w:val="clear" w:pos="9360"/>
        <w:tab w:val="left" w:pos="5835"/>
      </w:tabs>
      <w:jc w:val="center"/>
      <w:rPr>
        <w:rFonts w:asciiTheme="minorHAnsi" w:hAnsiTheme="minorHAnsi" w:cstheme="minorHAnsi"/>
        <w:b/>
        <w:i/>
        <w:sz w:val="20"/>
        <w:szCs w:val="20"/>
      </w:rPr>
    </w:pPr>
    <w:r w:rsidRPr="007F2C54">
      <w:rPr>
        <w:rFonts w:asciiTheme="minorHAnsi" w:hAnsiTheme="minorHAnsi" w:cstheme="minorHAnsi"/>
        <w:b/>
        <w:i/>
        <w:sz w:val="20"/>
        <w:szCs w:val="20"/>
      </w:rPr>
      <w:t xml:space="preserve">ITAA Proceedings, #80 – </w:t>
    </w:r>
    <w:hyperlink r:id="rId2" w:history="1">
      <w:r w:rsidRPr="007F2C54">
        <w:rPr>
          <w:rStyle w:val="Hyperlink"/>
          <w:rFonts w:asciiTheme="minorHAnsi" w:hAnsiTheme="minorHAnsi" w:cstheme="minorHAnsi"/>
          <w:sz w:val="20"/>
          <w:szCs w:val="20"/>
        </w:rPr>
        <w:t>https://itaaonline.org</w:t>
      </w:r>
    </w:hyperlink>
    <w:r w:rsidRPr="007F2C54">
      <w:rPr>
        <w:rFonts w:asciiTheme="minorHAnsi" w:hAnsiTheme="minorHAnsi" w:cstheme="minorHAnsi"/>
        <w:b/>
        <w:i/>
        <w:sz w:val="20"/>
        <w:szCs w:val="20"/>
      </w:rPr>
      <w:t xml:space="preserve"> </w:t>
    </w:r>
  </w:p>
  <w:p w14:paraId="74949080" w14:textId="77777777" w:rsidR="007F2C54" w:rsidRPr="007F2C54" w:rsidRDefault="007F2C54" w:rsidP="007F2C54">
    <w:pPr>
      <w:pStyle w:val="Footer"/>
      <w:tabs>
        <w:tab w:val="clear" w:pos="4680"/>
        <w:tab w:val="clear" w:pos="9360"/>
        <w:tab w:val="left" w:pos="5835"/>
      </w:tabs>
      <w:jc w:val="center"/>
      <w:rPr>
        <w:rFonts w:asciiTheme="minorHAnsi" w:hAnsiTheme="minorHAnsi" w:cstheme="minorHAnsi"/>
      </w:rPr>
    </w:pPr>
  </w:p>
  <w:p w14:paraId="0278854D" w14:textId="77777777" w:rsidR="007F2C54" w:rsidRDefault="007F2C54" w:rsidP="007F2C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0C14" w14:textId="1ED06368" w:rsidR="007F2C54" w:rsidRPr="007F2C54" w:rsidRDefault="007F2C54" w:rsidP="007F2C54">
    <w:pPr>
      <w:pStyle w:val="Footer"/>
      <w:jc w:val="right"/>
      <w:rPr>
        <w:rFonts w:asciiTheme="minorHAnsi" w:hAnsiTheme="minorHAnsi" w:cstheme="minorHAnsi"/>
        <w:b/>
        <w:sz w:val="20"/>
        <w:szCs w:val="20"/>
      </w:rPr>
    </w:pPr>
    <w:r w:rsidRPr="007F2C54">
      <w:rPr>
        <w:rFonts w:asciiTheme="minorHAnsi" w:hAnsiTheme="minorHAnsi" w:cstheme="minorHAnsi"/>
        <w:sz w:val="20"/>
        <w:szCs w:val="20"/>
      </w:rPr>
      <w:t xml:space="preserve">Page </w:t>
    </w:r>
    <w:r w:rsidRPr="007F2C54">
      <w:rPr>
        <w:rFonts w:asciiTheme="minorHAnsi" w:hAnsiTheme="minorHAnsi" w:cstheme="minorHAnsi"/>
        <w:b/>
        <w:sz w:val="20"/>
        <w:szCs w:val="20"/>
      </w:rPr>
      <w:fldChar w:fldCharType="begin"/>
    </w:r>
    <w:r w:rsidRPr="007F2C54">
      <w:rPr>
        <w:rFonts w:asciiTheme="minorHAnsi" w:hAnsiTheme="minorHAnsi" w:cstheme="minorHAnsi"/>
        <w:b/>
        <w:sz w:val="20"/>
        <w:szCs w:val="20"/>
      </w:rPr>
      <w:instrText xml:space="preserve"> PAGE </w:instrText>
    </w:r>
    <w:r w:rsidRPr="007F2C54">
      <w:rPr>
        <w:rFonts w:asciiTheme="minorHAnsi" w:hAnsiTheme="minorHAnsi" w:cstheme="minorHAnsi"/>
        <w:b/>
        <w:sz w:val="20"/>
        <w:szCs w:val="20"/>
      </w:rPr>
      <w:fldChar w:fldCharType="separate"/>
    </w:r>
    <w:r>
      <w:rPr>
        <w:rFonts w:asciiTheme="minorHAnsi" w:hAnsiTheme="minorHAnsi" w:cstheme="minorHAnsi"/>
        <w:b/>
        <w:sz w:val="20"/>
        <w:szCs w:val="20"/>
      </w:rPr>
      <w:t>1</w:t>
    </w:r>
    <w:r w:rsidRPr="007F2C54">
      <w:rPr>
        <w:rFonts w:asciiTheme="minorHAnsi" w:hAnsiTheme="minorHAnsi" w:cstheme="minorHAnsi"/>
        <w:b/>
        <w:sz w:val="20"/>
        <w:szCs w:val="20"/>
      </w:rPr>
      <w:fldChar w:fldCharType="end"/>
    </w:r>
    <w:r w:rsidRPr="007F2C54">
      <w:rPr>
        <w:rFonts w:asciiTheme="minorHAnsi" w:hAnsiTheme="minorHAnsi" w:cstheme="minorHAnsi"/>
        <w:sz w:val="20"/>
        <w:szCs w:val="20"/>
      </w:rPr>
      <w:t xml:space="preserve"> of </w:t>
    </w:r>
    <w:r w:rsidRPr="007F2C54">
      <w:rPr>
        <w:rFonts w:asciiTheme="minorHAnsi" w:hAnsiTheme="minorHAnsi" w:cstheme="minorHAnsi"/>
        <w:b/>
        <w:sz w:val="20"/>
        <w:szCs w:val="20"/>
      </w:rPr>
      <w:fldChar w:fldCharType="begin"/>
    </w:r>
    <w:r w:rsidRPr="007F2C54">
      <w:rPr>
        <w:rFonts w:asciiTheme="minorHAnsi" w:hAnsiTheme="minorHAnsi" w:cstheme="minorHAnsi"/>
        <w:b/>
        <w:sz w:val="20"/>
        <w:szCs w:val="20"/>
      </w:rPr>
      <w:instrText xml:space="preserve"> NUMPAGES  </w:instrText>
    </w:r>
    <w:r w:rsidRPr="007F2C54">
      <w:rPr>
        <w:rFonts w:asciiTheme="minorHAnsi" w:hAnsiTheme="minorHAnsi" w:cstheme="minorHAnsi"/>
        <w:b/>
        <w:sz w:val="20"/>
        <w:szCs w:val="20"/>
      </w:rPr>
      <w:fldChar w:fldCharType="separate"/>
    </w:r>
    <w:r>
      <w:rPr>
        <w:rFonts w:asciiTheme="minorHAnsi" w:hAnsiTheme="minorHAnsi" w:cstheme="minorHAnsi"/>
        <w:b/>
        <w:sz w:val="20"/>
        <w:szCs w:val="20"/>
      </w:rPr>
      <w:t>8</w:t>
    </w:r>
    <w:r w:rsidRPr="007F2C54">
      <w:rPr>
        <w:rFonts w:asciiTheme="minorHAnsi" w:hAnsiTheme="minorHAnsi" w:cstheme="minorHAnsi"/>
        <w:b/>
        <w:sz w:val="20"/>
        <w:szCs w:val="20"/>
      </w:rPr>
      <w:fldChar w:fldCharType="end"/>
    </w:r>
  </w:p>
  <w:p w14:paraId="0FED32EF" w14:textId="77777777" w:rsidR="007F2C54" w:rsidRPr="007F2C54" w:rsidRDefault="007F2C54" w:rsidP="007F2C54">
    <w:pPr>
      <w:pStyle w:val="Footer"/>
      <w:tabs>
        <w:tab w:val="clear" w:pos="4680"/>
        <w:tab w:val="clear" w:pos="9360"/>
        <w:tab w:val="left" w:pos="5835"/>
      </w:tabs>
      <w:jc w:val="center"/>
      <w:rPr>
        <w:rFonts w:asciiTheme="minorHAnsi" w:hAnsiTheme="minorHAnsi" w:cstheme="minorHAnsi"/>
        <w:b/>
        <w:i/>
        <w:sz w:val="20"/>
        <w:szCs w:val="20"/>
      </w:rPr>
    </w:pPr>
  </w:p>
  <w:p w14:paraId="19C7C23C" w14:textId="77777777" w:rsidR="007F2C54" w:rsidRPr="007F2C54" w:rsidRDefault="007F2C54" w:rsidP="007F2C54">
    <w:pPr>
      <w:pStyle w:val="Footer"/>
      <w:tabs>
        <w:tab w:val="clear" w:pos="4680"/>
        <w:tab w:val="clear" w:pos="9360"/>
        <w:tab w:val="left" w:pos="5835"/>
      </w:tabs>
      <w:jc w:val="center"/>
      <w:rPr>
        <w:rFonts w:asciiTheme="minorHAnsi" w:hAnsiTheme="minorHAnsi" w:cstheme="minorHAnsi"/>
        <w:i/>
        <w:sz w:val="19"/>
        <w:szCs w:val="19"/>
      </w:rPr>
    </w:pPr>
    <w:r w:rsidRPr="007F2C54">
      <w:rPr>
        <w:rFonts w:asciiTheme="minorHAnsi" w:hAnsiTheme="minorHAnsi" w:cstheme="minorHAnsi"/>
        <w:i/>
        <w:sz w:val="19"/>
        <w:szCs w:val="19"/>
      </w:rPr>
      <w:t xml:space="preserve">© 2023 The author(s). Published under a Creative Commons Attribution License </w:t>
    </w:r>
    <w:r w:rsidRPr="007F2C54">
      <w:rPr>
        <w:rFonts w:asciiTheme="minorHAnsi" w:hAnsiTheme="minorHAnsi" w:cstheme="minorHAnsi"/>
        <w:sz w:val="19"/>
        <w:szCs w:val="19"/>
      </w:rPr>
      <w:t>(</w:t>
    </w:r>
    <w:hyperlink r:id="rId1" w:history="1">
      <w:r w:rsidRPr="007F2C54">
        <w:rPr>
          <w:rStyle w:val="Hyperlink"/>
          <w:rFonts w:asciiTheme="minorHAnsi" w:hAnsiTheme="minorHAnsi" w:cstheme="minorHAnsi"/>
          <w:sz w:val="19"/>
          <w:szCs w:val="19"/>
        </w:rPr>
        <w:t>https://creativecommons.org/licenses/by/4.0/</w:t>
      </w:r>
    </w:hyperlink>
    <w:r w:rsidRPr="007F2C54">
      <w:rPr>
        <w:rFonts w:asciiTheme="minorHAnsi" w:hAnsiTheme="minorHAnsi" w:cstheme="minorHAnsi"/>
        <w:sz w:val="19"/>
        <w:szCs w:val="19"/>
      </w:rPr>
      <w:t>)</w:t>
    </w:r>
    <w:r w:rsidRPr="007F2C54">
      <w:rPr>
        <w:rFonts w:asciiTheme="minorHAnsi" w:hAnsiTheme="minorHAnsi" w:cstheme="minorHAnsi"/>
        <w:i/>
        <w:sz w:val="19"/>
        <w:szCs w:val="19"/>
      </w:rPr>
      <w:t>, which permits unrestricted use, distribution, and reproduction in any medium, provided the original work is properly cited.</w:t>
    </w:r>
  </w:p>
  <w:p w14:paraId="1F732F3F" w14:textId="77777777" w:rsidR="007F2C54" w:rsidRPr="007F2C54" w:rsidRDefault="007F2C54" w:rsidP="007F2C54">
    <w:pPr>
      <w:pStyle w:val="Footer"/>
      <w:tabs>
        <w:tab w:val="clear" w:pos="4680"/>
        <w:tab w:val="clear" w:pos="9360"/>
        <w:tab w:val="left" w:pos="5835"/>
      </w:tabs>
      <w:jc w:val="center"/>
      <w:rPr>
        <w:rFonts w:asciiTheme="minorHAnsi" w:hAnsiTheme="minorHAnsi" w:cstheme="minorHAnsi"/>
        <w:b/>
        <w:i/>
        <w:sz w:val="20"/>
        <w:szCs w:val="20"/>
      </w:rPr>
    </w:pPr>
    <w:r w:rsidRPr="007F2C54">
      <w:rPr>
        <w:rFonts w:asciiTheme="minorHAnsi" w:hAnsiTheme="minorHAnsi" w:cstheme="minorHAnsi"/>
        <w:b/>
        <w:i/>
        <w:sz w:val="20"/>
        <w:szCs w:val="20"/>
      </w:rPr>
      <w:t xml:space="preserve">ITAA Proceedings, #80 – </w:t>
    </w:r>
    <w:hyperlink r:id="rId2" w:history="1">
      <w:r w:rsidRPr="007F2C54">
        <w:rPr>
          <w:rStyle w:val="Hyperlink"/>
          <w:rFonts w:asciiTheme="minorHAnsi" w:hAnsiTheme="minorHAnsi" w:cstheme="minorHAnsi"/>
          <w:sz w:val="20"/>
          <w:szCs w:val="20"/>
        </w:rPr>
        <w:t>https://itaaonline.org</w:t>
      </w:r>
    </w:hyperlink>
    <w:r w:rsidRPr="007F2C54">
      <w:rPr>
        <w:rFonts w:asciiTheme="minorHAnsi" w:hAnsiTheme="minorHAnsi" w:cstheme="minorHAnsi"/>
        <w:b/>
        <w:i/>
        <w:sz w:val="20"/>
        <w:szCs w:val="20"/>
      </w:rPr>
      <w:t xml:space="preserve"> </w:t>
    </w:r>
  </w:p>
  <w:p w14:paraId="20E84740" w14:textId="77777777" w:rsidR="007F2C54" w:rsidRPr="007F2C54" w:rsidRDefault="007F2C54" w:rsidP="007F2C54">
    <w:pPr>
      <w:pStyle w:val="Footer"/>
      <w:tabs>
        <w:tab w:val="clear" w:pos="4680"/>
        <w:tab w:val="clear" w:pos="9360"/>
        <w:tab w:val="left" w:pos="5835"/>
      </w:tabs>
      <w:jc w:val="center"/>
      <w:rPr>
        <w:rFonts w:asciiTheme="minorHAnsi" w:hAnsiTheme="minorHAnsi" w:cstheme="minorHAnsi"/>
      </w:rPr>
    </w:pPr>
  </w:p>
  <w:p w14:paraId="0A02210B" w14:textId="77777777" w:rsidR="007F2C54" w:rsidRDefault="007F2C54" w:rsidP="007F2C54"/>
  <w:p w14:paraId="282F7D4B" w14:textId="77777777" w:rsidR="00000000" w:rsidRPr="007F2C54" w:rsidRDefault="00D52A90" w:rsidP="007F2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0ECC68BC" w:rsidR="00F637BF" w:rsidRPr="007F2C54" w:rsidRDefault="00F637BF" w:rsidP="00F637BF">
    <w:pPr>
      <w:pStyle w:val="Footer"/>
      <w:jc w:val="right"/>
      <w:rPr>
        <w:rFonts w:asciiTheme="minorHAnsi" w:hAnsiTheme="minorHAnsi" w:cstheme="minorHAnsi"/>
        <w:b/>
        <w:sz w:val="20"/>
        <w:szCs w:val="20"/>
      </w:rPr>
    </w:pPr>
    <w:r w:rsidRPr="007F2C54">
      <w:rPr>
        <w:rFonts w:asciiTheme="minorHAnsi" w:hAnsiTheme="minorHAnsi" w:cstheme="minorHAnsi"/>
        <w:sz w:val="20"/>
        <w:szCs w:val="20"/>
      </w:rPr>
      <w:t xml:space="preserve">Page </w:t>
    </w:r>
    <w:r w:rsidRPr="007F2C54">
      <w:rPr>
        <w:rFonts w:asciiTheme="minorHAnsi" w:hAnsiTheme="minorHAnsi" w:cstheme="minorHAnsi"/>
        <w:b/>
        <w:sz w:val="20"/>
        <w:szCs w:val="20"/>
      </w:rPr>
      <w:fldChar w:fldCharType="begin"/>
    </w:r>
    <w:r w:rsidRPr="007F2C54">
      <w:rPr>
        <w:rFonts w:asciiTheme="minorHAnsi" w:hAnsiTheme="minorHAnsi" w:cstheme="minorHAnsi"/>
        <w:b/>
        <w:sz w:val="20"/>
        <w:szCs w:val="20"/>
      </w:rPr>
      <w:instrText xml:space="preserve"> PAGE </w:instrText>
    </w:r>
    <w:r w:rsidRPr="007F2C54">
      <w:rPr>
        <w:rFonts w:asciiTheme="minorHAnsi" w:hAnsiTheme="minorHAnsi" w:cstheme="minorHAnsi"/>
        <w:b/>
        <w:sz w:val="20"/>
        <w:szCs w:val="20"/>
      </w:rPr>
      <w:fldChar w:fldCharType="separate"/>
    </w:r>
    <w:r w:rsidR="00FB3D77" w:rsidRPr="007F2C54">
      <w:rPr>
        <w:rFonts w:asciiTheme="minorHAnsi" w:hAnsiTheme="minorHAnsi" w:cstheme="minorHAnsi"/>
        <w:b/>
        <w:noProof/>
        <w:sz w:val="20"/>
        <w:szCs w:val="20"/>
      </w:rPr>
      <w:t>1</w:t>
    </w:r>
    <w:r w:rsidRPr="007F2C54">
      <w:rPr>
        <w:rFonts w:asciiTheme="minorHAnsi" w:hAnsiTheme="minorHAnsi" w:cstheme="minorHAnsi"/>
        <w:b/>
        <w:sz w:val="20"/>
        <w:szCs w:val="20"/>
      </w:rPr>
      <w:fldChar w:fldCharType="end"/>
    </w:r>
    <w:r w:rsidRPr="007F2C54">
      <w:rPr>
        <w:rFonts w:asciiTheme="minorHAnsi" w:hAnsiTheme="minorHAnsi" w:cstheme="minorHAnsi"/>
        <w:sz w:val="20"/>
        <w:szCs w:val="20"/>
      </w:rPr>
      <w:t xml:space="preserve"> of </w:t>
    </w:r>
    <w:r w:rsidRPr="007F2C54">
      <w:rPr>
        <w:rFonts w:asciiTheme="minorHAnsi" w:hAnsiTheme="minorHAnsi" w:cstheme="minorHAnsi"/>
        <w:b/>
        <w:sz w:val="20"/>
        <w:szCs w:val="20"/>
      </w:rPr>
      <w:fldChar w:fldCharType="begin"/>
    </w:r>
    <w:r w:rsidRPr="007F2C54">
      <w:rPr>
        <w:rFonts w:asciiTheme="minorHAnsi" w:hAnsiTheme="minorHAnsi" w:cstheme="minorHAnsi"/>
        <w:b/>
        <w:sz w:val="20"/>
        <w:szCs w:val="20"/>
      </w:rPr>
      <w:instrText xml:space="preserve"> NUMPAGES  </w:instrText>
    </w:r>
    <w:r w:rsidRPr="007F2C54">
      <w:rPr>
        <w:rFonts w:asciiTheme="minorHAnsi" w:hAnsiTheme="minorHAnsi" w:cstheme="minorHAnsi"/>
        <w:b/>
        <w:sz w:val="20"/>
        <w:szCs w:val="20"/>
      </w:rPr>
      <w:fldChar w:fldCharType="separate"/>
    </w:r>
    <w:r w:rsidR="00FB3D77" w:rsidRPr="007F2C54">
      <w:rPr>
        <w:rFonts w:asciiTheme="minorHAnsi" w:hAnsiTheme="minorHAnsi" w:cstheme="minorHAnsi"/>
        <w:b/>
        <w:noProof/>
        <w:sz w:val="20"/>
        <w:szCs w:val="20"/>
      </w:rPr>
      <w:t>3</w:t>
    </w:r>
    <w:r w:rsidRPr="007F2C54">
      <w:rPr>
        <w:rFonts w:asciiTheme="minorHAnsi" w:hAnsiTheme="minorHAnsi" w:cstheme="minorHAnsi"/>
        <w:b/>
        <w:sz w:val="20"/>
        <w:szCs w:val="20"/>
      </w:rPr>
      <w:fldChar w:fldCharType="end"/>
    </w:r>
  </w:p>
  <w:p w14:paraId="1F5C2EE8" w14:textId="77777777" w:rsidR="00F637BF" w:rsidRPr="007F2C54" w:rsidRDefault="00F637BF" w:rsidP="00F637BF">
    <w:pPr>
      <w:pStyle w:val="Footer"/>
      <w:tabs>
        <w:tab w:val="clear" w:pos="4680"/>
        <w:tab w:val="clear" w:pos="9360"/>
        <w:tab w:val="left" w:pos="5835"/>
      </w:tabs>
      <w:jc w:val="center"/>
      <w:rPr>
        <w:rFonts w:asciiTheme="minorHAnsi" w:hAnsiTheme="minorHAnsi" w:cstheme="minorHAnsi"/>
        <w:b/>
        <w:i/>
        <w:sz w:val="20"/>
        <w:szCs w:val="20"/>
      </w:rPr>
    </w:pPr>
  </w:p>
  <w:p w14:paraId="2E804031" w14:textId="3CCB3DC0" w:rsidR="00F637BF" w:rsidRPr="007F2C54" w:rsidRDefault="007C0B1B" w:rsidP="00F637BF">
    <w:pPr>
      <w:pStyle w:val="Footer"/>
      <w:tabs>
        <w:tab w:val="clear" w:pos="4680"/>
        <w:tab w:val="clear" w:pos="9360"/>
        <w:tab w:val="left" w:pos="5835"/>
      </w:tabs>
      <w:jc w:val="center"/>
      <w:rPr>
        <w:rFonts w:asciiTheme="minorHAnsi" w:hAnsiTheme="minorHAnsi" w:cstheme="minorHAnsi"/>
        <w:i/>
        <w:sz w:val="19"/>
        <w:szCs w:val="19"/>
      </w:rPr>
    </w:pPr>
    <w:r w:rsidRPr="007F2C54">
      <w:rPr>
        <w:rFonts w:asciiTheme="minorHAnsi" w:hAnsiTheme="minorHAnsi" w:cstheme="minorHAnsi"/>
        <w:i/>
        <w:sz w:val="19"/>
        <w:szCs w:val="19"/>
      </w:rPr>
      <w:t>© 202</w:t>
    </w:r>
    <w:r w:rsidR="00C2106F" w:rsidRPr="007F2C54">
      <w:rPr>
        <w:rFonts w:asciiTheme="minorHAnsi" w:hAnsiTheme="minorHAnsi" w:cstheme="minorHAnsi"/>
        <w:i/>
        <w:sz w:val="19"/>
        <w:szCs w:val="19"/>
      </w:rPr>
      <w:t>3</w:t>
    </w:r>
    <w:r w:rsidRPr="007F2C54">
      <w:rPr>
        <w:rFonts w:asciiTheme="minorHAnsi" w:hAnsiTheme="minorHAnsi" w:cstheme="minorHAnsi"/>
        <w:i/>
        <w:sz w:val="19"/>
        <w:szCs w:val="19"/>
      </w:rPr>
      <w:t xml:space="preserve"> The author(s). </w:t>
    </w:r>
    <w:r w:rsidR="003656EF" w:rsidRPr="007F2C54">
      <w:rPr>
        <w:rFonts w:asciiTheme="minorHAnsi" w:hAnsiTheme="minorHAnsi" w:cstheme="minorHAnsi"/>
        <w:i/>
        <w:sz w:val="19"/>
        <w:szCs w:val="19"/>
      </w:rPr>
      <w:t xml:space="preserve">Published under a Creative Commons Attribution License </w:t>
    </w:r>
    <w:r w:rsidR="003656EF" w:rsidRPr="007F2C54">
      <w:rPr>
        <w:rFonts w:asciiTheme="minorHAnsi" w:hAnsiTheme="minorHAnsi" w:cstheme="minorHAnsi"/>
        <w:sz w:val="19"/>
        <w:szCs w:val="19"/>
      </w:rPr>
      <w:t>(</w:t>
    </w:r>
    <w:hyperlink r:id="rId1" w:history="1">
      <w:r w:rsidR="003656EF" w:rsidRPr="007F2C54">
        <w:rPr>
          <w:rStyle w:val="Hyperlink"/>
          <w:rFonts w:asciiTheme="minorHAnsi" w:hAnsiTheme="minorHAnsi" w:cstheme="minorHAnsi"/>
          <w:sz w:val="19"/>
          <w:szCs w:val="19"/>
        </w:rPr>
        <w:t>https://creativecommons.org/licenses/by/4.0/</w:t>
      </w:r>
    </w:hyperlink>
    <w:r w:rsidR="003656EF" w:rsidRPr="007F2C54">
      <w:rPr>
        <w:rFonts w:asciiTheme="minorHAnsi" w:hAnsiTheme="minorHAnsi" w:cstheme="minorHAnsi"/>
        <w:sz w:val="19"/>
        <w:szCs w:val="19"/>
      </w:rPr>
      <w:t>)</w:t>
    </w:r>
    <w:r w:rsidR="003656EF" w:rsidRPr="007F2C54">
      <w:rPr>
        <w:rFonts w:asciiTheme="minorHAnsi" w:hAnsiTheme="minorHAnsi" w:cstheme="minorHAnsi"/>
        <w:i/>
        <w:sz w:val="19"/>
        <w:szCs w:val="19"/>
      </w:rPr>
      <w:t>, which permits unrestricted use, distribution, and reproduction in any medium, provided the original work is properly cited.</w:t>
    </w:r>
  </w:p>
  <w:p w14:paraId="0853E229" w14:textId="0C010D1E" w:rsidR="00000000" w:rsidRPr="007F2C54" w:rsidRDefault="00C85693" w:rsidP="007F2C54">
    <w:pPr>
      <w:pStyle w:val="Footer"/>
      <w:tabs>
        <w:tab w:val="clear" w:pos="4680"/>
        <w:tab w:val="clear" w:pos="9360"/>
        <w:tab w:val="left" w:pos="5835"/>
      </w:tabs>
      <w:jc w:val="center"/>
      <w:rPr>
        <w:rFonts w:asciiTheme="minorHAnsi" w:hAnsiTheme="minorHAnsi" w:cstheme="minorHAnsi"/>
        <w:b/>
        <w:i/>
        <w:sz w:val="20"/>
        <w:szCs w:val="20"/>
      </w:rPr>
    </w:pPr>
    <w:r w:rsidRPr="007F2C54">
      <w:rPr>
        <w:rFonts w:asciiTheme="minorHAnsi" w:hAnsiTheme="minorHAnsi" w:cstheme="minorHAnsi"/>
        <w:b/>
        <w:i/>
        <w:sz w:val="20"/>
        <w:szCs w:val="20"/>
      </w:rPr>
      <w:t>ITAA Proceedings, #</w:t>
    </w:r>
    <w:r w:rsidR="00C2106F" w:rsidRPr="007F2C54">
      <w:rPr>
        <w:rFonts w:asciiTheme="minorHAnsi" w:hAnsiTheme="minorHAnsi" w:cstheme="minorHAnsi"/>
        <w:b/>
        <w:i/>
        <w:sz w:val="20"/>
        <w:szCs w:val="20"/>
      </w:rPr>
      <w:t>80</w:t>
    </w:r>
    <w:r w:rsidR="00F637BF" w:rsidRPr="007F2C54">
      <w:rPr>
        <w:rFonts w:asciiTheme="minorHAnsi" w:hAnsiTheme="minorHAnsi" w:cstheme="minorHAnsi"/>
        <w:b/>
        <w:i/>
        <w:sz w:val="20"/>
        <w:szCs w:val="20"/>
      </w:rPr>
      <w:t xml:space="preserve"> – </w:t>
    </w:r>
    <w:hyperlink r:id="rId2" w:history="1">
      <w:r w:rsidR="00922F7D" w:rsidRPr="007F2C54">
        <w:rPr>
          <w:rStyle w:val="Hyperlink"/>
          <w:rFonts w:asciiTheme="minorHAnsi" w:hAnsiTheme="minorHAnsi" w:cstheme="minorHAnsi"/>
          <w:sz w:val="20"/>
          <w:szCs w:val="20"/>
        </w:rPr>
        <w:t>https://itaaonline.org</w:t>
      </w:r>
    </w:hyperlink>
    <w:r w:rsidR="006C2C74" w:rsidRPr="007F2C54">
      <w:rPr>
        <w:rFonts w:asciiTheme="minorHAnsi" w:hAnsiTheme="minorHAnsi" w:cstheme="minorHAnsi"/>
        <w:b/>
        <w:i/>
        <w:sz w:val="20"/>
        <w:szCs w:val="20"/>
      </w:rPr>
      <w:t xml:space="preserve"> </w:t>
    </w:r>
  </w:p>
  <w:p w14:paraId="64E7AB66" w14:textId="77777777" w:rsidR="007F2C54" w:rsidRPr="007F2C54" w:rsidRDefault="007F2C54" w:rsidP="007F2C54">
    <w:pPr>
      <w:pStyle w:val="Footer"/>
      <w:tabs>
        <w:tab w:val="clear" w:pos="4680"/>
        <w:tab w:val="clear" w:pos="9360"/>
        <w:tab w:val="left" w:pos="5835"/>
      </w:tabs>
      <w:jc w:val="center"/>
      <w:rPr>
        <w:rFonts w:asciiTheme="minorHAnsi" w:hAnsiTheme="minorHAnsi" w:cstheme="minorHAnsi"/>
      </w:rPr>
    </w:pPr>
  </w:p>
  <w:p w14:paraId="6628FDC5" w14:textId="77777777" w:rsidR="00000000" w:rsidRDefault="00D52A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C8B2" w14:textId="77777777" w:rsidR="004B04AB" w:rsidRDefault="004B04AB" w:rsidP="00AF5871">
      <w:pPr>
        <w:spacing w:after="0" w:line="240" w:lineRule="auto"/>
      </w:pPr>
      <w:r>
        <w:separator/>
      </w:r>
    </w:p>
  </w:footnote>
  <w:footnote w:type="continuationSeparator" w:id="0">
    <w:p w14:paraId="65FB157E" w14:textId="77777777" w:rsidR="004B04AB" w:rsidRDefault="004B04AB"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754F6DFA"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C2106F">
      <w:rPr>
        <w:rFonts w:ascii="Trebuchet MS" w:hAnsi="Trebuchet MS"/>
        <w:b/>
        <w:sz w:val="24"/>
        <w:szCs w:val="24"/>
      </w:rPr>
      <w:t>Baltimore, Maryland</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p w14:paraId="7BABC140" w14:textId="77777777" w:rsidR="00000000" w:rsidRDefault="00D52A90"/>
  <w:p w14:paraId="309DDB2D" w14:textId="77777777" w:rsidR="00000000" w:rsidRDefault="00D52A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36E4BB7B"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Pr="00672F2C">
      <w:rPr>
        <w:rFonts w:ascii="Trebuchet MS" w:hAnsi="Trebuchet MS"/>
        <w:b/>
        <w:sz w:val="24"/>
        <w:szCs w:val="24"/>
      </w:rPr>
      <w:t xml:space="preserve"> Proceedings</w:t>
    </w:r>
    <w:r w:rsidRPr="00672F2C">
      <w:rPr>
        <w:rFonts w:ascii="Trebuchet MS" w:hAnsi="Trebuchet MS"/>
        <w:b/>
        <w:sz w:val="24"/>
        <w:szCs w:val="24"/>
      </w:rPr>
      <w:tab/>
    </w:r>
    <w:r w:rsidR="00C2106F">
      <w:rPr>
        <w:rFonts w:ascii="Trebuchet MS" w:hAnsi="Trebuchet MS"/>
        <w:b/>
        <w:i/>
        <w:iCs/>
        <w:sz w:val="24"/>
        <w:szCs w:val="24"/>
      </w:rPr>
      <w:t>Baltimore, Maryland</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p w14:paraId="4819FC0F" w14:textId="77777777" w:rsidR="00000000" w:rsidRDefault="00D52A90"/>
  <w:p w14:paraId="733FA134" w14:textId="77777777" w:rsidR="00000000" w:rsidRDefault="00D52A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5AB2EA26" w:rsidR="00F637BF" w:rsidRDefault="007179FF" w:rsidP="007179FF">
    <w:pPr>
      <w:pStyle w:val="Header"/>
      <w:jc w:val="center"/>
    </w:pPr>
    <w:r w:rsidRPr="007179FF">
      <w:rPr>
        <w:noProof/>
      </w:rPr>
      <w:drawing>
        <wp:anchor distT="0" distB="0" distL="114300" distR="114300" simplePos="0" relativeHeight="251660800" behindDoc="1" locked="0" layoutInCell="1" allowOverlap="1" wp14:anchorId="54FB50C5" wp14:editId="09307422">
          <wp:simplePos x="0" y="0"/>
          <wp:positionH relativeFrom="margin">
            <wp:posOffset>4914900</wp:posOffset>
          </wp:positionH>
          <wp:positionV relativeFrom="paragraph">
            <wp:posOffset>-73025</wp:posOffset>
          </wp:positionV>
          <wp:extent cx="1021715" cy="803910"/>
          <wp:effectExtent l="0" t="0" r="6985" b="0"/>
          <wp:wrapNone/>
          <wp:docPr id="298565529" name="Picture 298565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70C">
      <w:rPr>
        <w:noProof/>
        <w:lang w:eastAsia="zh-TW"/>
      </w:rPr>
      <mc:AlternateContent>
        <mc:Choice Requires="wps">
          <w:drawing>
            <wp:anchor distT="0" distB="0" distL="114300" distR="114300" simplePos="0" relativeHeight="251657728" behindDoc="1" locked="0" layoutInCell="1" allowOverlap="1" wp14:anchorId="4CA2F77A" wp14:editId="73178A56">
              <wp:simplePos x="0" y="0"/>
              <wp:positionH relativeFrom="margin">
                <wp:align>right</wp:align>
              </wp:positionH>
              <wp:positionV relativeFrom="paragraph">
                <wp:posOffset>66675</wp:posOffset>
              </wp:positionV>
              <wp:extent cx="6045200" cy="54292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424.8pt;margin-top:5.25pt;width:476pt;height:42.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" stroked="f">
              <v:textbo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v:textbox>
              <w10:wrap anchorx="margin"/>
            </v:shape>
          </w:pict>
        </mc:Fallback>
      </mc:AlternateContent>
    </w:r>
  </w:p>
  <w:p w14:paraId="4D9B0702" w14:textId="65CC2FE8" w:rsidR="00F637BF" w:rsidRDefault="00F637BF" w:rsidP="00F637BF">
    <w:pPr>
      <w:pStyle w:val="Header"/>
    </w:pPr>
  </w:p>
  <w:p w14:paraId="4F68A8CC" w14:textId="0CE383DD" w:rsidR="00F637BF" w:rsidRDefault="00F637BF" w:rsidP="00F637BF">
    <w:pPr>
      <w:pStyle w:val="Header"/>
    </w:pPr>
  </w:p>
  <w:p w14:paraId="7D20887A" w14:textId="2667D82E"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5903D1B3">
              <wp:simplePos x="0" y="0"/>
              <wp:positionH relativeFrom="column">
                <wp:posOffset>19050</wp:posOffset>
              </wp:positionH>
              <wp:positionV relativeFrom="paragraph">
                <wp:posOffset>126365</wp:posOffset>
              </wp:positionV>
              <wp:extent cx="48006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89DE0" id="_x0000_t32" coordsize="21600,21600" o:spt="32" o:oned="t" path="m,l21600,21600e" filled="f">
              <v:path arrowok="t" fillok="f" o:connecttype="none"/>
              <o:lock v:ext="edit" shapetype="t"/>
            </v:shapetype>
            <v:shape id="AutoShape 8" o:spid="_x0000_s1026" type="#_x0000_t32" style="position:absolute;margin-left:1.5pt;margin-top:9.95pt;width:37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" strokeweight="2pt"/>
          </w:pict>
        </mc:Fallback>
      </mc:AlternateContent>
    </w:r>
  </w:p>
  <w:p w14:paraId="1F6E985D" w14:textId="77777777" w:rsidR="00000000" w:rsidRDefault="00D52A90"/>
  <w:p w14:paraId="2108EDEB" w14:textId="77777777" w:rsidR="00000000" w:rsidRDefault="00D52A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3694366">
    <w:abstractNumId w:val="13"/>
  </w:num>
  <w:num w:numId="2" w16cid:durableId="98186811">
    <w:abstractNumId w:val="3"/>
  </w:num>
  <w:num w:numId="3" w16cid:durableId="1163542641">
    <w:abstractNumId w:val="1"/>
  </w:num>
  <w:num w:numId="4" w16cid:durableId="1979260294">
    <w:abstractNumId w:val="5"/>
  </w:num>
  <w:num w:numId="5" w16cid:durableId="839009354">
    <w:abstractNumId w:val="10"/>
  </w:num>
  <w:num w:numId="6" w16cid:durableId="1289240021">
    <w:abstractNumId w:val="2"/>
  </w:num>
  <w:num w:numId="7" w16cid:durableId="498420937">
    <w:abstractNumId w:val="9"/>
  </w:num>
  <w:num w:numId="8" w16cid:durableId="934245659">
    <w:abstractNumId w:val="6"/>
  </w:num>
  <w:num w:numId="9" w16cid:durableId="1838961074">
    <w:abstractNumId w:val="7"/>
  </w:num>
  <w:num w:numId="10" w16cid:durableId="350491812">
    <w:abstractNumId w:val="0"/>
  </w:num>
  <w:num w:numId="11" w16cid:durableId="1882789532">
    <w:abstractNumId w:val="8"/>
  </w:num>
  <w:num w:numId="12" w16cid:durableId="1306154795">
    <w:abstractNumId w:val="11"/>
  </w:num>
  <w:num w:numId="13" w16cid:durableId="507403544">
    <w:abstractNumId w:val="14"/>
  </w:num>
  <w:num w:numId="14" w16cid:durableId="66072246">
    <w:abstractNumId w:val="12"/>
  </w:num>
  <w:num w:numId="15" w16cid:durableId="1218201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3A69"/>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3A1B"/>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16F0"/>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B3E"/>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15F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2134"/>
    <w:rsid w:val="004933B5"/>
    <w:rsid w:val="004949FE"/>
    <w:rsid w:val="00495783"/>
    <w:rsid w:val="004A0964"/>
    <w:rsid w:val="004A1977"/>
    <w:rsid w:val="004A6DA9"/>
    <w:rsid w:val="004B04AB"/>
    <w:rsid w:val="004B061A"/>
    <w:rsid w:val="004B68D7"/>
    <w:rsid w:val="004C1777"/>
    <w:rsid w:val="004C5B27"/>
    <w:rsid w:val="004C62C5"/>
    <w:rsid w:val="004D1F51"/>
    <w:rsid w:val="004D3C16"/>
    <w:rsid w:val="004D4B28"/>
    <w:rsid w:val="004E1F00"/>
    <w:rsid w:val="004E344D"/>
    <w:rsid w:val="004E34FD"/>
    <w:rsid w:val="004F1477"/>
    <w:rsid w:val="004F29BC"/>
    <w:rsid w:val="004F49A5"/>
    <w:rsid w:val="00500587"/>
    <w:rsid w:val="00505244"/>
    <w:rsid w:val="005112CD"/>
    <w:rsid w:val="00511484"/>
    <w:rsid w:val="0051225B"/>
    <w:rsid w:val="00513D1B"/>
    <w:rsid w:val="0051740D"/>
    <w:rsid w:val="00525B68"/>
    <w:rsid w:val="00527DA2"/>
    <w:rsid w:val="005303B0"/>
    <w:rsid w:val="005330BB"/>
    <w:rsid w:val="00537E33"/>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179FF"/>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2C54"/>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156E"/>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07E8"/>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2C7D"/>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4B5F"/>
    <w:rsid w:val="00C05FBD"/>
    <w:rsid w:val="00C12665"/>
    <w:rsid w:val="00C166B9"/>
    <w:rsid w:val="00C206AF"/>
    <w:rsid w:val="00C209B6"/>
    <w:rsid w:val="00C2106F"/>
    <w:rsid w:val="00C22C8B"/>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1788"/>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77/0887302X2096988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loomberg.com/news/features/2020-10-18/china-s-big-fashion-problem-is-recycling-26-million-tons-of-used-cloth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bes.com/sites/sap/2022/06/29/why-the-circular-economy-is-the-perfect-fit-for-the-fashion-industr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080/14697017.2013.768426"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cmp.com/business/china-business/article/3174015/chinas-climate-goals-beijing-aims-recycle-25-cent-all" TargetMode="External"/><Relationship Id="rId14" Type="http://schemas.openxmlformats.org/officeDocument/2006/relationships/hyperlink" Target="https://doi.org/10.1186/1748-5908-4-67"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11497</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KI, Chloe [SFT]</cp:lastModifiedBy>
  <cp:revision>2</cp:revision>
  <cp:lastPrinted>2010-03-03T19:14:00Z</cp:lastPrinted>
  <dcterms:created xsi:type="dcterms:W3CDTF">2023-11-27T06:10:00Z</dcterms:created>
  <dcterms:modified xsi:type="dcterms:W3CDTF">2023-11-27T06:10:00Z</dcterms:modified>
</cp:coreProperties>
</file>